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40"/>
        <w:jc w:val="center"/>
      </w:pPr>
      <w:r>
        <w:drawing>
          <wp:inline distT="0" distB="0" distL="0" distR="0">
            <wp:extent cx="1809750" cy="1809750"/>
            <wp:effectExtent t="0" r="0" b="0" l="0"/>
            <wp:docPr id="1" name="logo" descr="logo" title="N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809750" cy="1809750"/>
                    </a:xfrm>
                    <a:prstGeom prst="rect">
                      <a:avLst/>
                    </a:prstGeom>
                  </pic:spPr>
                </pic:pic>
              </a:graphicData>
            </a:graphic>
          </wp:inline>
        </w:drawing>
      </w:r>
    </w:p>
    <w:p>
      <w:pPr>
        <w:spacing w:after="40"/>
        <w:jc w:val="center"/>
      </w:pPr>
      <w:r>
        <w:rPr>
          <w:b/>
          <w:bCs/>
          <w:caps/>
          <w:color w:val="2F5233"/>
          <w:sz w:val="24"/>
          <w:szCs w:val="24"/>
        </w:rPr>
        <w:t xml:space="preserve">THE NATIONAL ARTS, AGRICULTURE &amp; ADVANCEMENT FOUNDATION</w:t>
      </w:r>
    </w:p>
    <w:p>
      <w:pPr>
        <w:spacing w:after="60"/>
        <w:jc w:val="center"/>
      </w:pPr>
      <w:r>
        <w:rPr>
          <w:rFonts w:ascii="Georgia" w:cs="Georgia" w:eastAsia="Georgia" w:hAnsi="Georgia"/>
          <w:b/>
          <w:bCs/>
          <w:color w:val="0B2545"/>
          <w:sz w:val="60"/>
          <w:szCs w:val="60"/>
        </w:rPr>
        <w:t xml:space="preserve">National Future Leaders of America</w:t>
      </w:r>
    </w:p>
    <w:p>
      <w:pPr>
        <w:spacing w:after="30"/>
        <w:jc w:val="center"/>
      </w:pPr>
      <w:r>
        <w:rPr>
          <w:rFonts w:ascii="Georgia" w:cs="Georgia" w:eastAsia="Georgia" w:hAnsi="Georgia"/>
          <w:b/>
          <w:bCs/>
          <w:caps/>
          <w:color w:val="B8860B"/>
          <w:sz w:val="40"/>
          <w:szCs w:val="40"/>
        </w:rPr>
        <w:t xml:space="preserve">STUDENT, ADULT WORKFORCE</w:t>
      </w:r>
    </w:p>
    <w:p>
      <w:pPr>
        <w:spacing w:after="60"/>
        <w:jc w:val="center"/>
      </w:pPr>
      <w:r>
        <w:rPr>
          <w:rFonts w:ascii="Georgia" w:cs="Georgia" w:eastAsia="Georgia" w:hAnsi="Georgia"/>
          <w:b/>
          <w:bCs/>
          <w:caps/>
          <w:color w:val="B8860B"/>
          <w:sz w:val="40"/>
          <w:szCs w:val="40"/>
        </w:rPr>
        <w:t xml:space="preserve">&amp; PARENT HANDBOOK</w:t>
      </w:r>
    </w:p>
    <w:p>
      <w:pPr>
        <w:spacing w:after="200"/>
        <w:jc w:val="center"/>
      </w:pPr>
      <w:r>
        <w:rPr>
          <w:color w:val="555555"/>
          <w:sz w:val="30"/>
          <w:szCs w:val="30"/>
        </w:rPr>
        <w:t xml:space="preserve">2026 Edition</w:t>
      </w:r>
    </w:p>
    <w:p>
      <w:pPr>
        <w:pBdr>
          <w:top w:val="single" w:color="B8860B" w:sz="10" w:space="8"/>
          <w:bottom w:val="single" w:color="B8860B" w:sz="10" w:space="8"/>
        </w:pBdr>
        <w:spacing w:after="200"/>
        <w:jc w:val="center"/>
      </w:pPr>
      <w:r>
        <w:rPr>
          <w:b/>
          <w:bCs/>
          <w:color w:val="0B2545"/>
          <w:sz w:val="24"/>
          <w:szCs w:val="24"/>
        </w:rPr>
        <w:t xml:space="preserve">Division I Agriculture  ·  Division II Arts &amp; Media  ·  Division III Entrepreneurship, Technology &amp; Sciences  ·  Division IV Adult Employment</w:t>
      </w:r>
    </w:p>
    <w:p>
      <w:pPr>
        <w:spacing w:after="40"/>
        <w:jc w:val="center"/>
      </w:pPr>
      <w:r>
        <w:rPr>
          <w:i/>
          <w:iCs/>
          <w:color w:val="2F5233"/>
          <w:sz w:val="28"/>
          <w:szCs w:val="28"/>
        </w:rPr>
        <w:t xml:space="preserve">“From Seed to Harvest — From Student to Leader — From Nothing to Everything.”</w:t>
      </w:r>
    </w:p>
    <w:p>
      <w:pPr>
        <w:spacing w:after="0"/>
        <w:jc w:val="center"/>
      </w:pPr>
      <w:r>
        <w:rPr>
          <w:i/>
          <w:iCs/>
          <w:color w:val="B8860B"/>
          <w:sz w:val="26"/>
          <w:szCs w:val="26"/>
        </w:rPr>
        <w:t xml:space="preserve">“If no one else will invest in you — we will.”</w:t>
      </w:r>
    </w:p>
    <w:p>
      <w:pPr>
        <w:spacing w:before="240"/>
        <w:jc w:val="center"/>
      </w:pPr>
      <w:r>
        <w:rPr>
          <w:color w:val="555555"/>
          <w:sz w:val="22"/>
          <w:szCs w:val="22"/>
        </w:rPr>
        <w:t xml:space="preserve">NA3foundation.org  ·  980-497-2748  ·  Admin@na3foundation.org  ·  3515 W. Roosevelt Blvd, Monroe, NC</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About This Handbook</w:t>
      </w:r>
    </w:p>
    <w:p>
      <w:pPr>
        <w:spacing w:after="160" w:before="0" w:line="300"/>
      </w:pPr>
      <w:r>
        <w:rPr>
          <w:sz w:val="28"/>
          <w:szCs w:val="28"/>
        </w:rPr>
        <w:t xml:space="preserve">This handbook is the shared agreement among everyone who makes the National Future Leaders of America (NFLA) work: </w:t>
      </w:r>
      <w:r>
        <w:rPr>
          <w:b/>
          <w:bCs/>
          <w:sz w:val="28"/>
          <w:szCs w:val="28"/>
        </w:rPr>
        <w:t xml:space="preserve">youth students, adult workforce participants, and parents and guardians.</w:t>
      </w:r>
      <w:r>
        <w:rPr>
          <w:sz w:val="28"/>
          <w:szCs w:val="28"/>
        </w:rPr>
        <w:t xml:space="preserve"> It explains what we offer, what we expect, and how we hold one another accountable. Accountability here is not punishment — it is respect. We take our students and families seriously enough to be clear, consistent, and fair.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Who this handbook is for</w:t>
            </w:r>
          </w:p>
          <w:p>
            <w:pPr>
              <w:pStyle w:val="ListParagraph"/>
              <w:numPr>
                <w:ilvl w:val="0"/>
                <w:numId w:val="2"/>
              </w:numPr>
              <w:spacing w:after="120" w:line="300"/>
            </w:pPr>
            <w:r>
              <w:rPr>
                <w:b/>
                <w:bCs/>
                <w:sz w:val="28"/>
                <w:szCs w:val="28"/>
              </w:rPr>
              <w:t xml:space="preserve">Youth students </w:t>
            </w:r>
            <w:r>
              <w:rPr>
                <w:sz w:val="28"/>
                <w:szCs w:val="28"/>
              </w:rPr>
              <w:t xml:space="preserve">(ages 5–17) and their families.</w:t>
            </w:r>
          </w:p>
          <w:p>
            <w:pPr>
              <w:pStyle w:val="ListParagraph"/>
              <w:numPr>
                <w:ilvl w:val="0"/>
                <w:numId w:val="2"/>
              </w:numPr>
              <w:spacing w:after="120" w:line="300"/>
            </w:pPr>
            <w:r>
              <w:rPr>
                <w:b/>
                <w:bCs/>
                <w:sz w:val="28"/>
                <w:szCs w:val="28"/>
              </w:rPr>
              <w:t xml:space="preserve">Adult workforce participants </w:t>
            </w:r>
            <w:r>
              <w:rPr>
                <w:sz w:val="28"/>
                <w:szCs w:val="28"/>
              </w:rPr>
              <w:t xml:space="preserve">(ages 18 and older), including the Division IV Adult Employment Track and Senior Track (65+).</w:t>
            </w:r>
          </w:p>
          <w:p>
            <w:pPr>
              <w:pStyle w:val="ListParagraph"/>
              <w:numPr>
                <w:ilvl w:val="0"/>
                <w:numId w:val="2"/>
              </w:numPr>
              <w:spacing w:after="120" w:line="300"/>
            </w:pPr>
            <w:r>
              <w:rPr>
                <w:b/>
                <w:bCs/>
                <w:sz w:val="28"/>
                <w:szCs w:val="28"/>
              </w:rPr>
              <w:t xml:space="preserve">Parents and guardians </w:t>
            </w:r>
            <w:r>
              <w:rPr>
                <w:sz w:val="28"/>
                <w:szCs w:val="28"/>
              </w:rPr>
              <w:t xml:space="preserve">— full partners in every student’s success and accountable to this handbook alongside their student.</w:t>
            </w:r>
          </w:p>
        </w:tc>
      </w:tr>
    </w:tbl>
    <w:p>
      <w:pPr>
        <w:spacing w:after="160" w:before="0" w:line="300"/>
      </w:pPr>
      <w:r>
        <w:rPr>
          <w:i/>
          <w:iCs/>
          <w:color w:val="555555"/>
          <w:sz w:val="28"/>
          <w:szCs w:val="28"/>
        </w:rPr>
        <w:t xml:space="preserve">Where this handbook conflicts with the Foundation’s official governing documents (Articles of Incorporation, Bylaws, or signed agreements), those documents control. This handbook is a good-faith program guide, not legal advice.</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Welcome from the Founder</w:t>
      </w:r>
    </w:p>
    <w:p>
      <w:pPr>
        <w:spacing w:after="160" w:before="0" w:line="300"/>
      </w:pPr>
      <w:r>
        <w:rPr>
          <w:sz w:val="28"/>
          <w:szCs w:val="28"/>
        </w:rPr>
        <w:t xml:space="preserve">To every student, every adult ready for a new start, and every parent who said yes to something bigger — welcome.</w:t>
      </w:r>
    </w:p>
    <w:p>
      <w:pPr>
        <w:spacing w:after="160" w:before="0" w:line="300"/>
      </w:pPr>
      <w:r>
        <w:rPr>
          <w:sz w:val="28"/>
          <w:szCs w:val="28"/>
        </w:rPr>
        <w:t xml:space="preserve">The National Future Leaders of America was not built from a distance. It was built by people who grew up in the same communities we now serve, who know firsthand that the problem was never the people. The problem was the absence of a system designed to reach, develop, and deploy them. NFLA is that system. It is a place where a young person learns to grow food and perform on a stage, where an adult earns a credential and a paycheck, and where a family becomes part of an institution that refuses to quit on them.</w:t>
      </w:r>
    </w:p>
    <w:p>
      <w:pPr>
        <w:spacing w:after="160" w:before="0" w:line="300"/>
      </w:pPr>
      <w:r>
        <w:rPr>
          <w:sz w:val="28"/>
          <w:szCs w:val="28"/>
        </w:rPr>
        <w:t xml:space="preserve">This handbook is where we put our promise in writing. We will be clear about what we expect, because clarity is how we keep our word. We expect effort, respect, and showing up — from students, from adults, and from parents. In return, we commit to teaching with excellence, treating every person with dignity, and opening real doors to certification, employment, and ownership.</w:t>
      </w:r>
    </w:p>
    <w:p>
      <w:pPr>
        <w:spacing w:after="160" w:before="0" w:line="300"/>
      </w:pPr>
      <w:r>
        <w:rPr>
          <w:sz w:val="28"/>
          <w:szCs w:val="28"/>
        </w:rPr>
        <w:t xml:space="preserve">Read it together as a family. Sign it. Then let’s get to work.</w:t>
      </w:r>
    </w:p>
    <w:p>
      <w:pPr>
        <w:spacing w:after="160" w:before="0" w:line="300"/>
      </w:pPr>
      <w:r>
        <w:rPr>
          <w:b/>
          <w:bCs/>
          <w:sz w:val="28"/>
          <w:szCs w:val="28"/>
        </w:rPr>
        <w:t xml:space="preserve">— Ronald Leon Waterman Jr.</w:t>
      </w:r>
      <w:r>
        <w:rPr>
          <w:color w:val="555555"/>
          <w:sz w:val="28"/>
          <w:szCs w:val="28"/>
        </w:rPr>
        <w:t xml:space="preserve">  ·  Founder &amp; Chief Executive Officer</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How to Use This Handbook</w:t>
      </w:r>
    </w:p>
    <w:p>
      <w:pPr>
        <w:spacing w:after="160" w:before="0" w:line="300"/>
      </w:pPr>
      <w:r>
        <w:rPr>
          <w:sz w:val="28"/>
          <w:szCs w:val="28"/>
        </w:rPr>
        <w:t xml:space="preserve">This handbook is organized in ten parts. You do not have to read it all at once, but every family should review the identity, program, organizations, competitions, accountability, and health &amp; safety sections, and sign the acknowledgment at the back.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Part</w:t>
            </w:r>
          </w:p>
        </w:tc>
        <w:tc>
          <w:tcPr>
            <w:tcW w:type="dxa" w:w="67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What it covers</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Part I</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Who we are — NA³, NFLA, mission, values, leadership</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Part II</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The academic &amp; workforce program, four divisions, and the complete field catalog</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Part III</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The six national organizations (honor societies &amp; fraternities)</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Part IV</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The four national competitions</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Part V</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Enrollment, tuition, scholarships &amp; finances</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Part VI</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Schedule tracks &amp; daily operations</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Part VII</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Accountability — conduct &amp; community standards</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Part VIII</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Health, safety &amp; wellness</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Part IX</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Families, rights &amp; records</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Part X</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Appendices, the Accountability Compact &amp; acknowledgment</w:t>
            </w:r>
          </w:p>
        </w:tc>
      </w:tr>
    </w:tbl>
    <w:p>
      <w:pPr>
        <w:pStyle w:val="Heading1"/>
        <w:pBdr>
          <w:bottom w:val="single" w:color="B8860B" w:sz="10" w:space="6"/>
        </w:pBdr>
        <w:spacing w:after="160" w:before="160"/>
      </w:pPr>
      <w:r>
        <w:rPr>
          <w:rFonts w:ascii="Georgia" w:cs="Georgia" w:eastAsia="Georgia" w:hAnsi="Georgia"/>
          <w:b/>
          <w:bCs/>
          <w:color w:val="0B2545"/>
          <w:sz w:val="48"/>
          <w:szCs w:val="48"/>
        </w:rPr>
        <w:t xml:space="preserve">Table of Contents</w:t>
      </w:r>
    </w:p>
    <w:p>
      <w:pPr>
        <w:spacing w:after="160" w:before="0" w:line="300"/>
      </w:pPr>
      <w:r>
        <w:rPr>
          <w:i/>
          <w:iCs/>
          <w:color w:val="555555"/>
          <w:sz w:val="24"/>
          <w:szCs w:val="24"/>
        </w:rPr>
        <w:t xml:space="preserve">Page numbers fill in automatically when this document is opened in Word (right-click the table and choose “Update Field”).</w:t>
      </w:r>
    </w:p>
    <w:sdt>
      <w:sdtPr>
        <w:alias w:val="Contents"/>
      </w:sdtPr>
      <w:sdtContent>
        <w:p>
          <w:r>
            <w:fldChar w:fldCharType="begin" w:dirty="true"/>
            <w:instrText xml:space="preserve">TOC \o "1-2" \t "undefined,1,undefined,2"</w:instrText>
            <w:fldChar w:fldCharType="separate"/>
          </w:r>
        </w:p>
        <w:p>
          <w:r>
            <w:fldChar w:fldCharType="end"/>
          </w:r>
        </w:p>
      </w:sdtContent>
    </w:sdt>
    <w:p>
      <w:pPr>
        <w:pageBreakBefore/>
        <w:spacing w:after="0" w:before="2600"/>
        <w:jc w:val="center"/>
      </w:pPr>
      <w:r>
        <w:rPr>
          <w:rFonts w:ascii="Georgia" w:cs="Georgia" w:eastAsia="Georgia" w:hAnsi="Georgia"/>
          <w:b/>
          <w:bCs/>
          <w:caps/>
          <w:color w:val="B8860B"/>
          <w:sz w:val="40"/>
          <w:szCs w:val="40"/>
        </w:rPr>
        <w:t xml:space="preserve">PART I</w:t>
      </w:r>
    </w:p>
    <w:p>
      <w:pPr>
        <w:pBdr>
          <w:top w:val="single" w:color="0B2545" w:sz="12" w:space="14"/>
          <w:bottom w:val="single" w:color="0B2545" w:sz="12" w:space="14"/>
        </w:pBdr>
        <w:spacing w:after="200" w:before="120"/>
        <w:jc w:val="center"/>
      </w:pPr>
      <w:r>
        <w:rPr>
          <w:rFonts w:ascii="Georgia" w:cs="Georgia" w:eastAsia="Georgia" w:hAnsi="Georgia"/>
          <w:b/>
          <w:bCs/>
          <w:color w:val="0B2545"/>
          <w:sz w:val="56"/>
          <w:szCs w:val="56"/>
        </w:rPr>
        <w:t xml:space="preserve">Who We Are</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1 — Our Identity</w:t>
      </w:r>
    </w:p>
    <w:p>
      <w:pPr>
        <w:pStyle w:val="Heading2"/>
        <w:spacing w:after="110" w:before="240"/>
      </w:pPr>
      <w:r>
        <w:rPr>
          <w:rFonts w:ascii="Georgia" w:cs="Georgia" w:eastAsia="Georgia" w:hAnsi="Georgia"/>
          <w:b/>
          <w:bCs/>
          <w:color w:val="2F5233"/>
          <w:sz w:val="36"/>
          <w:szCs w:val="36"/>
        </w:rPr>
        <w:t xml:space="preserve">1.1  Legal Name &amp; Program</w:t>
      </w:r>
    </w:p>
    <w:p>
      <w:pPr>
        <w:spacing w:after="160" w:before="0" w:line="300"/>
      </w:pPr>
      <w:r>
        <w:rPr>
          <w:b/>
          <w:bCs/>
          <w:sz w:val="28"/>
          <w:szCs w:val="28"/>
        </w:rPr>
        <w:t xml:space="preserve">Legal name: </w:t>
      </w:r>
      <w:r>
        <w:rPr>
          <w:sz w:val="28"/>
          <w:szCs w:val="28"/>
        </w:rPr>
        <w:t xml:space="preserve">The National Arts, Agriculture and Advancement Foundation — also styled NA³ (NA Cubed), NAAAF, and NA³ Foundation.</w:t>
      </w:r>
    </w:p>
    <w:p>
      <w:pPr>
        <w:spacing w:after="160" w:before="0" w:line="300"/>
      </w:pPr>
      <w:r>
        <w:rPr>
          <w:b/>
          <w:bCs/>
          <w:sz w:val="28"/>
          <w:szCs w:val="28"/>
        </w:rPr>
        <w:t xml:space="preserve">Flagship program: </w:t>
      </w:r>
      <w:r>
        <w:rPr>
          <w:sz w:val="28"/>
          <w:szCs w:val="28"/>
        </w:rPr>
        <w:t xml:space="preserve">National Future Leaders of America (NFLA) — the trade name under which we deliver all youth and adult programming.</w:t>
      </w:r>
    </w:p>
    <w:p>
      <w:pPr>
        <w:spacing w:after="160" w:before="0" w:line="300"/>
      </w:pPr>
      <w:r>
        <w:rPr>
          <w:b/>
          <w:bCs/>
          <w:sz w:val="28"/>
          <w:szCs w:val="28"/>
        </w:rPr>
        <w:t xml:space="preserve">Incorporated: </w:t>
      </w:r>
      <w:r>
        <w:rPr>
          <w:sz w:val="28"/>
          <w:szCs w:val="28"/>
        </w:rPr>
        <w:t xml:space="preserve">March 26, 2026, in North Carolina (SOSID 3261980). EIN 41-5153469. A North Carolina nonprofit corporation; 501(c)(3) recognition is pending with the IRS.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A note on names</w:t>
            </w:r>
          </w:p>
          <w:p>
            <w:pPr>
              <w:spacing w:after="0" w:before="0" w:line="300"/>
            </w:pPr>
            <w:r>
              <w:rPr>
                <w:sz w:val="26"/>
                <w:szCs w:val="26"/>
              </w:rPr>
              <w:t xml:space="preserve">“Roots &amp; Rhythm” is only a community-level descriptor for certain summer materials and is not the name of the Foundation or its programs. Our program name is the National Future Leaders of America (NFLA).</w:t>
            </w:r>
          </w:p>
        </w:tc>
      </w:tr>
    </w:tbl>
    <w:p>
      <w:pPr>
        <w:pStyle w:val="Heading2"/>
        <w:spacing w:after="110" w:before="240"/>
      </w:pPr>
      <w:r>
        <w:rPr>
          <w:rFonts w:ascii="Georgia" w:cs="Georgia" w:eastAsia="Georgia" w:hAnsi="Georgia"/>
          <w:b/>
          <w:bCs/>
          <w:color w:val="2F5233"/>
          <w:sz w:val="36"/>
          <w:szCs w:val="36"/>
        </w:rPr>
        <w:t xml:space="preserve">1.2  Mission</w:t>
      </w:r>
    </w:p>
    <w:p>
      <w:pPr>
        <w:spacing w:after="160" w:before="0" w:line="300"/>
      </w:pPr>
      <w:r>
        <w:rPr>
          <w:sz w:val="28"/>
          <w:szCs w:val="28"/>
        </w:rPr>
        <w:t xml:space="preserve">To design, implement, and scale integrated systems of education, workforce development, and economic advancement that transform individuals — particularly those from underserved, under-resourced, and structurally excluded communities — into skilled professionals, certified workers, entrepreneurs, and community leaders who build generational wealth and change the trajectory of their families, their neighborhoods, and this nation.</w:t>
      </w:r>
    </w:p>
    <w:p>
      <w:pPr>
        <w:pStyle w:val="Heading2"/>
        <w:spacing w:after="110" w:before="240"/>
      </w:pPr>
      <w:r>
        <w:rPr>
          <w:rFonts w:ascii="Georgia" w:cs="Georgia" w:eastAsia="Georgia" w:hAnsi="Georgia"/>
          <w:b/>
          <w:bCs/>
          <w:color w:val="2F5233"/>
          <w:sz w:val="36"/>
          <w:szCs w:val="36"/>
        </w:rPr>
        <w:t xml:space="preserve">1.3  Vision</w:t>
      </w:r>
    </w:p>
    <w:p>
      <w:pPr>
        <w:spacing w:after="160" w:before="0" w:line="300"/>
      </w:pPr>
      <w:r>
        <w:rPr>
          <w:sz w:val="28"/>
          <w:szCs w:val="28"/>
        </w:rPr>
        <w:t xml:space="preserve">A nation where ZIP code, net worth, prior history, and family background no longer determine a person’s potential. A place where every person who walks through an NFLA door walks out with a credential, a career, and a clear path to ownership — not someday, but now.</w:t>
      </w:r>
    </w:p>
    <w:p>
      <w:pPr>
        <w:pStyle w:val="Heading2"/>
        <w:spacing w:after="110" w:before="240"/>
      </w:pPr>
      <w:r>
        <w:rPr>
          <w:rFonts w:ascii="Georgia" w:cs="Georgia" w:eastAsia="Georgia" w:hAnsi="Georgia"/>
          <w:b/>
          <w:bCs/>
          <w:color w:val="2F5233"/>
          <w:sz w:val="36"/>
          <w:szCs w:val="36"/>
        </w:rPr>
        <w:t xml:space="preserve">1.4  Motto, Slogan &amp; Promise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color w:val="0B2545"/>
                <w:sz w:val="28"/>
                <w:szCs w:val="28"/>
              </w:rPr>
              <w:t xml:space="preserve">Motto</w:t>
            </w:r>
          </w:p>
        </w:tc>
        <w:tc>
          <w:tcPr>
            <w:tcW w:type="dxa" w:w="6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8"/>
                <w:szCs w:val="28"/>
              </w:rPr>
              <w:t xml:space="preserve">“From Seed to Harvest — From Student to Leader — From Nothing to Everything.”</w:t>
            </w:r>
          </w:p>
        </w:tc>
      </w:tr>
      <w:tr>
        <w:tc>
          <w:tcPr>
            <w:tcW w:type="dxa" w:w="2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color w:val="0B2545"/>
                <w:sz w:val="28"/>
                <w:szCs w:val="28"/>
              </w:rPr>
              <w:t xml:space="preserve">Slogan</w:t>
            </w:r>
          </w:p>
        </w:tc>
        <w:tc>
          <w:tcPr>
            <w:tcW w:type="dxa" w:w="6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8"/>
                <w:szCs w:val="28"/>
              </w:rPr>
              <w:t xml:space="preserve">“No more excuses. No more waiting. No more wasted potential.”</w:t>
            </w:r>
          </w:p>
        </w:tc>
      </w:tr>
      <w:tr>
        <w:tc>
          <w:tcPr>
            <w:tcW w:type="dxa" w:w="2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color w:val="0B2545"/>
                <w:sz w:val="28"/>
                <w:szCs w:val="28"/>
              </w:rPr>
              <w:t xml:space="preserve">The NA³ Promise</w:t>
            </w:r>
          </w:p>
        </w:tc>
        <w:tc>
          <w:tcPr>
            <w:tcW w:type="dxa" w:w="6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8"/>
                <w:szCs w:val="28"/>
              </w:rPr>
              <w:t xml:space="preserve">“If no one else will invest in you — we will.”</w:t>
            </w:r>
          </w:p>
        </w:tc>
      </w:tr>
      <w:tr>
        <w:tc>
          <w:tcPr>
            <w:tcW w:type="dxa" w:w="2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color w:val="0B2545"/>
                <w:sz w:val="28"/>
                <w:szCs w:val="28"/>
              </w:rPr>
              <w:t xml:space="preserve">Mascot</w:t>
            </w:r>
          </w:p>
        </w:tc>
        <w:tc>
          <w:tcPr>
            <w:tcW w:type="dxa" w:w="6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8"/>
                <w:szCs w:val="28"/>
              </w:rPr>
              <w:t xml:space="preserve">The Eagle — vision from the heights, power rooted in purpose, and the ability to rise from any starting point.</w:t>
            </w:r>
          </w:p>
        </w:tc>
      </w:tr>
      <w:tr>
        <w:tc>
          <w:tcPr>
            <w:tcW w:type="dxa" w:w="2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color w:val="0B2545"/>
                <w:sz w:val="28"/>
                <w:szCs w:val="28"/>
              </w:rPr>
              <w:t xml:space="preserve">Anthem</w:t>
            </w:r>
          </w:p>
        </w:tc>
        <w:tc>
          <w:tcPr>
            <w:tcW w:type="dxa" w:w="6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8"/>
                <w:szCs w:val="28"/>
              </w:rPr>
              <w:t xml:space="preserve">“Activate” — our anthem, composed and recorded by program participants, performed at major events.</w:t>
            </w:r>
          </w:p>
        </w:tc>
      </w:tr>
    </w:tbl>
    <w:p>
      <w:pPr>
        <w:pStyle w:val="Heading2"/>
        <w:spacing w:after="110" w:before="240"/>
      </w:pPr>
      <w:r>
        <w:rPr>
          <w:rFonts w:ascii="Georgia" w:cs="Georgia" w:eastAsia="Georgia" w:hAnsi="Georgia"/>
          <w:b/>
          <w:bCs/>
          <w:color w:val="2F5233"/>
          <w:sz w:val="36"/>
          <w:szCs w:val="36"/>
        </w:rPr>
        <w:t xml:space="preserve">1.5  Core Values</w:t>
      </w:r>
    </w:p>
    <w:p>
      <w:pPr>
        <w:pStyle w:val="ListParagraph"/>
        <w:numPr>
          <w:ilvl w:val="0"/>
          <w:numId w:val="2"/>
        </w:numPr>
        <w:spacing w:after="120" w:line="300"/>
      </w:pPr>
      <w:r>
        <w:rPr>
          <w:b/>
          <w:bCs/>
          <w:sz w:val="28"/>
          <w:szCs w:val="28"/>
        </w:rPr>
        <w:t xml:space="preserve">Excellence. </w:t>
      </w:r>
      <w:r>
        <w:rPr>
          <w:sz w:val="28"/>
          <w:szCs w:val="28"/>
        </w:rPr>
        <w:t xml:space="preserve">We hold a professional standard and we teach to it.</w:t>
      </w:r>
    </w:p>
    <w:p>
      <w:pPr>
        <w:pStyle w:val="ListParagraph"/>
        <w:numPr>
          <w:ilvl w:val="0"/>
          <w:numId w:val="2"/>
        </w:numPr>
        <w:spacing w:after="120" w:line="300"/>
      </w:pPr>
      <w:r>
        <w:rPr>
          <w:b/>
          <w:bCs/>
          <w:sz w:val="28"/>
          <w:szCs w:val="28"/>
        </w:rPr>
        <w:t xml:space="preserve">Dignity. </w:t>
      </w:r>
      <w:r>
        <w:rPr>
          <w:sz w:val="28"/>
          <w:szCs w:val="28"/>
        </w:rPr>
        <w:t xml:space="preserve">Every person is treated with respect, without exception.</w:t>
      </w:r>
    </w:p>
    <w:p>
      <w:pPr>
        <w:pStyle w:val="ListParagraph"/>
        <w:numPr>
          <w:ilvl w:val="0"/>
          <w:numId w:val="2"/>
        </w:numPr>
        <w:spacing w:after="120" w:line="300"/>
      </w:pPr>
      <w:r>
        <w:rPr>
          <w:b/>
          <w:bCs/>
          <w:sz w:val="28"/>
          <w:szCs w:val="28"/>
        </w:rPr>
        <w:t xml:space="preserve">Accountability. </w:t>
      </w:r>
      <w:r>
        <w:rPr>
          <w:sz w:val="28"/>
          <w:szCs w:val="28"/>
        </w:rPr>
        <w:t xml:space="preserve">We say what we expect and we follow through — students, adults, and parents alike.</w:t>
      </w:r>
    </w:p>
    <w:p>
      <w:pPr>
        <w:pStyle w:val="ListParagraph"/>
        <w:numPr>
          <w:ilvl w:val="0"/>
          <w:numId w:val="2"/>
        </w:numPr>
        <w:spacing w:after="120" w:line="300"/>
      </w:pPr>
      <w:r>
        <w:rPr>
          <w:b/>
          <w:bCs/>
          <w:sz w:val="28"/>
          <w:szCs w:val="28"/>
        </w:rPr>
        <w:t xml:space="preserve">Ownership. </w:t>
      </w:r>
      <w:r>
        <w:rPr>
          <w:sz w:val="28"/>
          <w:szCs w:val="28"/>
        </w:rPr>
        <w:t xml:space="preserve">We move people from training to certification to employment to ownership and legacy.</w:t>
      </w:r>
    </w:p>
    <w:p>
      <w:pPr>
        <w:pStyle w:val="ListParagraph"/>
        <w:numPr>
          <w:ilvl w:val="0"/>
          <w:numId w:val="2"/>
        </w:numPr>
        <w:spacing w:after="120" w:line="300"/>
      </w:pPr>
      <w:r>
        <w:rPr>
          <w:b/>
          <w:bCs/>
          <w:sz w:val="28"/>
          <w:szCs w:val="28"/>
        </w:rPr>
        <w:t xml:space="preserve">Community. </w:t>
      </w:r>
      <w:r>
        <w:rPr>
          <w:sz w:val="28"/>
          <w:szCs w:val="28"/>
        </w:rPr>
        <w:t xml:space="preserve">We build institutions that outlast any one person and serve the whole community.</w:t>
      </w:r>
    </w:p>
    <w:p>
      <w:pPr>
        <w:pStyle w:val="ListParagraph"/>
        <w:numPr>
          <w:ilvl w:val="0"/>
          <w:numId w:val="2"/>
        </w:numPr>
        <w:spacing w:after="120" w:line="300"/>
      </w:pPr>
      <w:r>
        <w:rPr>
          <w:b/>
          <w:bCs/>
          <w:sz w:val="28"/>
          <w:szCs w:val="28"/>
        </w:rPr>
        <w:t xml:space="preserve">Faith &amp; Integrity. </w:t>
      </w:r>
      <w:r>
        <w:rPr>
          <w:sz w:val="28"/>
          <w:szCs w:val="28"/>
        </w:rPr>
        <w:t xml:space="preserve">We honor our host community and do what is right even when no one is watching.</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2 — The Closed-Loop Workforce Ecosystem</w:t>
      </w:r>
    </w:p>
    <w:p>
      <w:pPr>
        <w:spacing w:after="160" w:before="0" w:line="300"/>
      </w:pPr>
      <w:r>
        <w:rPr>
          <w:sz w:val="28"/>
          <w:szCs w:val="28"/>
        </w:rPr>
        <w:t xml:space="preserve">NFLA is not a class you take — it is a pipeline you move through. Every phase connects to the next so that training never dead-ends. We call this the closed-loop ecosystem: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3E9CE" w:color="auto" w:val="clear"/>
            <w:tcMar>
              <w:top w:type="dxa" w:w="140"/>
              <w:left w:type="dxa" w:w="200"/>
              <w:bottom w:type="dxa" w:w="140"/>
              <w:right w:type="dxa" w:w="160"/>
            </w:tcMar>
          </w:tcPr>
          <w:p>
            <w:pPr>
              <w:spacing w:after="80"/>
            </w:pPr>
            <w:r>
              <w:rPr>
                <w:b/>
                <w:bCs/>
                <w:color w:val="0B2545"/>
                <w:sz w:val="30"/>
                <w:szCs w:val="30"/>
              </w:rPr>
              <w:t xml:space="preserve">Training → Certification → Experience → Employment → Ownership → Legacy</w:t>
            </w:r>
          </w:p>
          <w:p>
            <w:pPr>
              <w:spacing w:after="0" w:before="0" w:line="300"/>
            </w:pPr>
            <w:r>
              <w:rPr>
                <w:sz w:val="28"/>
                <w:szCs w:val="28"/>
              </w:rPr>
              <w:t xml:space="preserve">You build a skill. You earn the credential that makes it count. You apply it in real production. You are connected to employment. You grow toward ownership. You leave a legacy.</w:t>
            </w:r>
          </w:p>
        </w:tc>
      </w:tr>
    </w:tbl>
    <w:p>
      <w:pPr>
        <w:pStyle w:val="Heading2"/>
        <w:spacing w:after="110" w:before="240"/>
      </w:pPr>
      <w:r>
        <w:rPr>
          <w:rFonts w:ascii="Georgia" w:cs="Georgia" w:eastAsia="Georgia" w:hAnsi="Georgia"/>
          <w:b/>
          <w:bCs/>
          <w:color w:val="2F5233"/>
          <w:sz w:val="36"/>
          <w:szCs w:val="36"/>
        </w:rPr>
        <w:t xml:space="preserve">2.1  Employer &amp; Production Partners</w:t>
      </w:r>
    </w:p>
    <w:p>
      <w:pPr>
        <w:spacing w:after="160" w:before="0" w:line="300"/>
      </w:pPr>
      <w:r>
        <w:rPr>
          <w:sz w:val="28"/>
          <w:szCs w:val="28"/>
        </w:rPr>
        <w:t xml:space="preserve">Experience and employment placement happen through a network of mission-aligned partners. Every partner relationship is governed by a written agreement and our conflict-of-interest protocol.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0"/>
        <w:gridCol w:w="5560"/>
      </w:tblGrid>
      <w:tr>
        <w:trPr>
          <w:tblHeader/>
        </w:trPr>
        <w:tc>
          <w:tcPr>
            <w:tcW w:type="dxa" w:w="38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Partner</w:t>
            </w:r>
          </w:p>
        </w:tc>
        <w:tc>
          <w:tcPr>
            <w:tcW w:type="dxa" w:w="55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Role</w:t>
            </w:r>
          </w:p>
        </w:tc>
      </w:tr>
      <w:tr>
        <w:tc>
          <w:tcPr>
            <w:tcW w:type="dxa" w:w="38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The Artistic Institute LLC</w:t>
            </w:r>
          </w:p>
        </w:tc>
        <w:tc>
          <w:tcPr>
            <w:tcW w:type="dxa" w:w="55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Performing arts, audio engineering, design &amp; creative production</w:t>
            </w:r>
          </w:p>
        </w:tc>
      </w:tr>
      <w:tr>
        <w:tc>
          <w:tcPr>
            <w:tcW w:type="dxa" w:w="38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S.I.G.G. Inc. (Sow In Good Ground)</w:t>
            </w:r>
          </w:p>
        </w:tc>
        <w:tc>
          <w:tcPr>
            <w:tcW w:type="dxa" w:w="55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Agricultural production, micro-farm &amp; farmers-market operations</w:t>
            </w:r>
          </w:p>
        </w:tc>
      </w:tr>
      <w:tr>
        <w:tc>
          <w:tcPr>
            <w:tcW w:type="dxa" w:w="38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Kingdom Wealth Logistics &amp; Distribution LLC</w:t>
            </w:r>
          </w:p>
        </w:tc>
        <w:tc>
          <w:tcPr>
            <w:tcW w:type="dxa" w:w="55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Transportation, logistics &amp; employment placement</w:t>
            </w:r>
          </w:p>
        </w:tc>
      </w:tr>
    </w:tbl>
    <w:p>
      <w:pPr>
        <w:spacing w:after="160" w:before="0" w:line="300"/>
      </w:pPr>
      <w:r>
        <w:rPr>
          <w:b/>
          <w:bCs/>
          <w:sz w:val="28"/>
          <w:szCs w:val="28"/>
        </w:rPr>
        <w:t xml:space="preserve">Note: </w:t>
      </w:r>
      <w:r>
        <w:rPr>
          <w:i/>
          <w:iCs/>
          <w:color w:val="555555"/>
          <w:sz w:val="28"/>
          <w:szCs w:val="28"/>
        </w:rPr>
        <w:t xml:space="preserve">Some partners are owned by Foundation leaders. Every related-party transaction follows a strict conflict-of-interest process: the interested leader discloses and recuses, and disinterested directors review and approve in writing.</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3 — Leadership &amp; Organization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00"/>
        <w:gridCol w:w="5560"/>
      </w:tblGrid>
      <w:tr>
        <w:trPr>
          <w:tblHeader/>
        </w:trPr>
        <w:tc>
          <w:tcPr>
            <w:tcW w:type="dxa" w:w="38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Name</w:t>
            </w:r>
          </w:p>
        </w:tc>
        <w:tc>
          <w:tcPr>
            <w:tcW w:type="dxa" w:w="55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Role</w:t>
            </w:r>
          </w:p>
        </w:tc>
      </w:tr>
      <w:tr>
        <w:tc>
          <w:tcPr>
            <w:tcW w:type="dxa" w:w="38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Ronald Leon Waterman Jr.</w:t>
            </w:r>
          </w:p>
        </w:tc>
        <w:tc>
          <w:tcPr>
            <w:tcW w:type="dxa" w:w="55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Founder &amp; Chief Executive Officer; Owner, The Artistic Institute LLC</w:t>
            </w:r>
          </w:p>
        </w:tc>
      </w:tr>
      <w:tr>
        <w:tc>
          <w:tcPr>
            <w:tcW w:type="dxa" w:w="38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Marcus Kevin Truss II</w:t>
            </w:r>
          </w:p>
        </w:tc>
        <w:tc>
          <w:tcPr>
            <w:tcW w:type="dxa" w:w="55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Co-Founder &amp; Chief Operating Officer; Agriculture lead; Owner, S.I.G.G. Inc.</w:t>
            </w:r>
          </w:p>
        </w:tc>
      </w:tr>
      <w:tr>
        <w:tc>
          <w:tcPr>
            <w:tcW w:type="dxa" w:w="38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Gia Bridgette-Barnes</w:t>
            </w:r>
          </w:p>
        </w:tc>
        <w:tc>
          <w:tcPr>
            <w:tcW w:type="dxa" w:w="55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Co-Founder &amp; Chief Financial Officer; Executive Director, Promise Child Ministries (facility partner)</w:t>
            </w:r>
          </w:p>
        </w:tc>
      </w:tr>
    </w:tbl>
    <w:p>
      <w:pPr>
        <w:spacing w:after="160" w:before="0" w:line="300"/>
      </w:pPr>
      <w:r>
        <w:rPr>
          <w:sz w:val="28"/>
          <w:szCs w:val="28"/>
        </w:rPr>
        <w:t xml:space="preserve">NFLA programming is hosted at a facility provided through Promise Child Ministries. The Foundation’s long-term permanent campus is planned for Morven, Anson County, North Carolina (Year 2, 2027).</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Host-facility music policy</w:t>
            </w:r>
          </w:p>
          <w:p>
            <w:pPr>
              <w:spacing w:after="0" w:before="0" w:line="300"/>
            </w:pPr>
            <w:r>
              <w:rPr>
                <w:sz w:val="26"/>
                <w:szCs w:val="26"/>
              </w:rPr>
              <w:t xml:space="preserve">Because programming is hosted in a faith-community sanctuary, all musical and choreographic selections are spiritual or instrumental while in the sanctuary space, in full respect of our host.</w:t>
            </w:r>
          </w:p>
        </w:tc>
      </w:tr>
    </w:tbl>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4 — Equal Opportunity &amp; Nondiscrimination</w:t>
      </w:r>
    </w:p>
    <w:p>
      <w:pPr>
        <w:spacing w:after="160" w:before="0" w:line="300"/>
      </w:pPr>
      <w:r>
        <w:rPr>
          <w:sz w:val="28"/>
          <w:szCs w:val="28"/>
        </w:rPr>
        <w:t xml:space="preserve">NFLA admits students and administers all programs, scholarships, and activities without discrimination on the basis of race, color, national origin, sex, age, disability, religion, or any other status protected by law. This commitment is consistent with Title VI of the Civil Rights Act of 1964, Title IX of the Education Amendments of 1972, Section 504 of the Rehabilitation Act and the Americans with Disabilities Act, the Age Discrimination Act of 1975, and applicable USDA nondiscrimination requirements where meals are provided. Concerns may be raised through the grievance procedure in Part IX.</w:t>
      </w:r>
    </w:p>
    <w:p>
      <w:pPr>
        <w:pageBreakBefore/>
        <w:spacing w:after="0" w:before="2600"/>
        <w:jc w:val="center"/>
      </w:pPr>
      <w:r>
        <w:rPr>
          <w:rFonts w:ascii="Georgia" w:cs="Georgia" w:eastAsia="Georgia" w:hAnsi="Georgia"/>
          <w:b/>
          <w:bCs/>
          <w:caps/>
          <w:color w:val="B8860B"/>
          <w:sz w:val="40"/>
          <w:szCs w:val="40"/>
        </w:rPr>
        <w:t xml:space="preserve">PART II</w:t>
      </w:r>
    </w:p>
    <w:p>
      <w:pPr>
        <w:pBdr>
          <w:top w:val="single" w:color="0B2545" w:sz="12" w:space="14"/>
          <w:bottom w:val="single" w:color="0B2545" w:sz="12" w:space="14"/>
        </w:pBdr>
        <w:spacing w:after="200" w:before="120"/>
        <w:jc w:val="center"/>
      </w:pPr>
      <w:r>
        <w:rPr>
          <w:rFonts w:ascii="Georgia" w:cs="Georgia" w:eastAsia="Georgia" w:hAnsi="Georgia"/>
          <w:b/>
          <w:bCs/>
          <w:color w:val="0B2545"/>
          <w:sz w:val="56"/>
          <w:szCs w:val="56"/>
        </w:rPr>
        <w:t xml:space="preserve">The Academic &amp; Workforce Program</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5 — The Four Divisions</w:t>
      </w:r>
    </w:p>
    <w:p>
      <w:pPr>
        <w:spacing w:after="160" w:before="0" w:line="300"/>
      </w:pPr>
      <w:r>
        <w:rPr>
          <w:sz w:val="28"/>
          <w:szCs w:val="28"/>
        </w:rPr>
        <w:t xml:space="preserve">Every NFLA participant trains within a structured program built on four divisions. Youth move through the full pipeline; adults enter on accelerated tracks suited to their immediate goals.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Division</w:t>
            </w:r>
          </w:p>
        </w:tc>
        <w:tc>
          <w:tcPr>
            <w:tcW w:type="dxa" w:w="63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Focus</w:t>
            </w:r>
          </w:p>
        </w:tc>
      </w:tr>
      <w:tr>
        <w:tc>
          <w:tcPr>
            <w:tcW w:type="dxa" w:w="30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8"/>
                <w:szCs w:val="28"/>
              </w:rPr>
              <w:t xml:space="preserve">Division I</w:t>
            </w:r>
          </w:p>
        </w:tc>
        <w:tc>
          <w:tcPr>
            <w:tcW w:type="dxa" w:w="63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Agriculture, Agriscience, Livestock &amp; Food Systems</w:t>
            </w:r>
          </w:p>
        </w:tc>
      </w:tr>
      <w:tr>
        <w:tc>
          <w:tcPr>
            <w:tcW w:type="dxa" w:w="30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8"/>
                <w:szCs w:val="28"/>
              </w:rPr>
              <w:t xml:space="preserve">Division II</w:t>
            </w:r>
          </w:p>
        </w:tc>
        <w:tc>
          <w:tcPr>
            <w:tcW w:type="dxa" w:w="63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Arts, Media &amp; Performance</w:t>
            </w:r>
          </w:p>
        </w:tc>
      </w:tr>
      <w:tr>
        <w:tc>
          <w:tcPr>
            <w:tcW w:type="dxa" w:w="30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8"/>
                <w:szCs w:val="28"/>
              </w:rPr>
              <w:t xml:space="preserve">Division III</w:t>
            </w:r>
          </w:p>
        </w:tc>
        <w:tc>
          <w:tcPr>
            <w:tcW w:type="dxa" w:w="63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Entrepreneurship, Technology &amp; Sciences</w:t>
            </w:r>
          </w:p>
        </w:tc>
      </w:tr>
      <w:tr>
        <w:tc>
          <w:tcPr>
            <w:tcW w:type="dxa" w:w="30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8"/>
                <w:szCs w:val="28"/>
              </w:rPr>
              <w:t xml:space="preserve">Division IV</w:t>
            </w:r>
          </w:p>
        </w:tc>
        <w:tc>
          <w:tcPr>
            <w:tcW w:type="dxa" w:w="63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Adult Employment (18+) — immediate, income-generating placement with concurrent certification</w:t>
            </w:r>
          </w:p>
        </w:tc>
      </w:tr>
    </w:tbl>
    <w:p>
      <w:pPr>
        <w:pStyle w:val="Heading2"/>
        <w:spacing w:after="110" w:before="240"/>
      </w:pPr>
      <w:r>
        <w:rPr>
          <w:rFonts w:ascii="Georgia" w:cs="Georgia" w:eastAsia="Georgia" w:hAnsi="Georgia"/>
          <w:b/>
          <w:bCs/>
          <w:color w:val="2F5233"/>
          <w:sz w:val="36"/>
          <w:szCs w:val="36"/>
        </w:rPr>
        <w:t xml:space="preserve">5.1  The Dual-Core Requirement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3E9CE" w:color="auto" w:val="clear"/>
            <w:tcMar>
              <w:top w:type="dxa" w:w="140"/>
              <w:left w:type="dxa" w:w="200"/>
              <w:bottom w:type="dxa" w:w="140"/>
              <w:right w:type="dxa" w:w="160"/>
            </w:tcMar>
          </w:tcPr>
          <w:p>
            <w:pPr>
              <w:spacing w:after="80"/>
            </w:pPr>
            <w:r>
              <w:rPr>
                <w:b/>
                <w:bCs/>
                <w:color w:val="0B2545"/>
                <w:sz w:val="30"/>
                <w:szCs w:val="30"/>
              </w:rPr>
              <w:t xml:space="preserve">Every student. Every tier. No exceptions.</w:t>
            </w:r>
          </w:p>
          <w:p>
            <w:pPr>
              <w:spacing w:after="0" w:before="0" w:line="300"/>
            </w:pPr>
            <w:r>
              <w:rPr>
                <w:b/>
                <w:bCs/>
                <w:sz w:val="28"/>
                <w:szCs w:val="28"/>
              </w:rPr>
              <w:t xml:space="preserve">EVERY student completes ONE Agriculture field AND ONE Arts field. </w:t>
            </w:r>
            <w:r>
              <w:rPr>
                <w:sz w:val="28"/>
                <w:szCs w:val="28"/>
              </w:rPr>
              <w:t xml:space="preserve">Both are required; neither is optional. Business &amp; marketing fundamentals are embedded in every field — every farmer learns to price and sell, every performer learns to monetize, every technologist learns to own what they build.</w:t>
            </w:r>
          </w:p>
        </w:tc>
      </w:tr>
    </w:tbl>
    <w:p>
      <w:pPr>
        <w:spacing w:after="160" w:before="0" w:line="300"/>
      </w:pPr>
      <w:r>
        <w:rPr>
          <w:sz w:val="28"/>
          <w:szCs w:val="28"/>
        </w:rPr>
        <w:t xml:space="preserve">Additional fields unlock at higher tuition tiers or through grant-funded scholarship. Field selection is finalized after the 40-Day Foundational Assessment and the First-Month Division Showcase, so no student is locked in before they have experienced every pathway.</w:t>
      </w:r>
    </w:p>
    <w:p>
      <w:pPr>
        <w:pStyle w:val="Heading2"/>
        <w:spacing w:after="110" w:before="240"/>
      </w:pPr>
      <w:r>
        <w:rPr>
          <w:rFonts w:ascii="Georgia" w:cs="Georgia" w:eastAsia="Georgia" w:hAnsi="Georgia"/>
          <w:b/>
          <w:bCs/>
          <w:color w:val="2F5233"/>
          <w:sz w:val="36"/>
          <w:szCs w:val="36"/>
        </w:rPr>
        <w:t xml:space="preserve">5.2  The Four-Phase Pipeline</w:t>
      </w:r>
    </w:p>
    <w:p>
      <w:pPr>
        <w:pStyle w:val="ListParagraph"/>
        <w:numPr>
          <w:ilvl w:val="0"/>
          <w:numId w:val="3"/>
        </w:numPr>
        <w:spacing w:after="120" w:line="300"/>
      </w:pPr>
      <w:r>
        <w:rPr>
          <w:b/>
          <w:bCs/>
          <w:sz w:val="28"/>
          <w:szCs w:val="28"/>
        </w:rPr>
        <w:t xml:space="preserve">Foundation &amp; Assessment. </w:t>
      </w:r>
      <w:r>
        <w:rPr>
          <w:sz w:val="28"/>
          <w:szCs w:val="28"/>
        </w:rPr>
        <w:t xml:space="preserve">Entry, the 40-Day Foundational Assessment, and the Individual Development Plan (IDP).</w:t>
      </w:r>
    </w:p>
    <w:p>
      <w:pPr>
        <w:pStyle w:val="ListParagraph"/>
        <w:numPr>
          <w:ilvl w:val="0"/>
          <w:numId w:val="4"/>
        </w:numPr>
        <w:spacing w:after="120" w:line="300"/>
      </w:pPr>
      <w:r>
        <w:rPr>
          <w:b/>
          <w:bCs/>
          <w:sz w:val="28"/>
          <w:szCs w:val="28"/>
        </w:rPr>
        <w:t xml:space="preserve">Skill &amp; Certification. </w:t>
      </w:r>
      <w:r>
        <w:rPr>
          <w:sz w:val="28"/>
          <w:szCs w:val="28"/>
        </w:rPr>
        <w:t xml:space="preserve">Core instruction and preparation for industry-recognized credentials.</w:t>
      </w:r>
    </w:p>
    <w:p>
      <w:pPr>
        <w:pStyle w:val="ListParagraph"/>
        <w:numPr>
          <w:ilvl w:val="0"/>
          <w:numId w:val="5"/>
        </w:numPr>
        <w:spacing w:after="120" w:line="300"/>
      </w:pPr>
      <w:r>
        <w:rPr>
          <w:b/>
          <w:bCs/>
          <w:sz w:val="28"/>
          <w:szCs w:val="28"/>
        </w:rPr>
        <w:t xml:space="preserve">Applied Experience. </w:t>
      </w:r>
      <w:r>
        <w:rPr>
          <w:sz w:val="28"/>
          <w:szCs w:val="28"/>
        </w:rPr>
        <w:t xml:space="preserve">Real production, internships, and in-field practice with partner organizations.</w:t>
      </w:r>
    </w:p>
    <w:p>
      <w:pPr>
        <w:pStyle w:val="ListParagraph"/>
        <w:numPr>
          <w:ilvl w:val="0"/>
          <w:numId w:val="6"/>
        </w:numPr>
        <w:spacing w:after="120" w:line="300"/>
      </w:pPr>
      <w:r>
        <w:rPr>
          <w:b/>
          <w:bCs/>
          <w:sz w:val="28"/>
          <w:szCs w:val="28"/>
        </w:rPr>
        <w:t xml:space="preserve">Employment &amp; Ownership. </w:t>
      </w:r>
      <w:r>
        <w:rPr>
          <w:sz w:val="28"/>
          <w:szCs w:val="28"/>
        </w:rPr>
        <w:t xml:space="preserve">Placement into employment and the pathway toward business ownership and legacy.</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6 — Credits, Assessment &amp; Completion</w:t>
      </w:r>
    </w:p>
    <w:p>
      <w:pPr>
        <w:pStyle w:val="Heading2"/>
        <w:spacing w:after="110" w:before="240"/>
      </w:pPr>
      <w:r>
        <w:rPr>
          <w:rFonts w:ascii="Georgia" w:cs="Georgia" w:eastAsia="Georgia" w:hAnsi="Georgia"/>
          <w:b/>
          <w:bCs/>
          <w:color w:val="2F5233"/>
          <w:sz w:val="36"/>
          <w:szCs w:val="36"/>
        </w:rPr>
        <w:t xml:space="preserve">6.1  Credit System</w:t>
      </w:r>
    </w:p>
    <w:p>
      <w:pPr>
        <w:pStyle w:val="ListParagraph"/>
        <w:numPr>
          <w:ilvl w:val="0"/>
          <w:numId w:val="2"/>
        </w:numPr>
        <w:spacing w:after="120" w:line="300"/>
      </w:pPr>
      <w:r>
        <w:rPr>
          <w:sz w:val="28"/>
          <w:szCs w:val="28"/>
        </w:rPr>
        <w:t xml:space="preserve">Each course is worth </w:t>
      </w:r>
      <w:r>
        <w:rPr>
          <w:b/>
          <w:bCs/>
          <w:sz w:val="28"/>
          <w:szCs w:val="28"/>
        </w:rPr>
        <w:t xml:space="preserve">7 credits</w:t>
      </w:r>
      <w:r>
        <w:rPr>
          <w:sz w:val="28"/>
          <w:szCs w:val="28"/>
        </w:rPr>
        <w:t xml:space="preserve"> — 4 earned through performance (doing the work) and 3 through coursework (study and preparation).</w:t>
      </w:r>
    </w:p>
    <w:p>
      <w:pPr>
        <w:pStyle w:val="ListParagraph"/>
        <w:numPr>
          <w:ilvl w:val="0"/>
          <w:numId w:val="2"/>
        </w:numPr>
        <w:spacing w:after="120" w:line="300"/>
      </w:pPr>
      <w:r>
        <w:rPr>
          <w:sz w:val="28"/>
          <w:szCs w:val="28"/>
        </w:rPr>
        <w:t xml:space="preserve">Completing the Summer / Initiation Program requires </w:t>
      </w:r>
      <w:r>
        <w:rPr>
          <w:b/>
          <w:bCs/>
          <w:sz w:val="28"/>
          <w:szCs w:val="28"/>
        </w:rPr>
        <w:t xml:space="preserve">100 credits.</w:t>
      </w:r>
    </w:p>
    <w:p>
      <w:pPr>
        <w:pStyle w:val="ListParagraph"/>
        <w:numPr>
          <w:ilvl w:val="0"/>
          <w:numId w:val="2"/>
        </w:numPr>
        <w:spacing w:after="120" w:line="300"/>
      </w:pPr>
      <w:r>
        <w:rPr>
          <w:sz w:val="28"/>
          <w:szCs w:val="28"/>
        </w:rPr>
        <w:t xml:space="preserve">Year-round participants build on that foundation and typically graduate in </w:t>
      </w:r>
      <w:r>
        <w:rPr>
          <w:b/>
          <w:bCs/>
          <w:sz w:val="28"/>
          <w:szCs w:val="28"/>
        </w:rPr>
        <w:t xml:space="preserve">two to three years</w:t>
      </w:r>
      <w:r>
        <w:rPr>
          <w:sz w:val="28"/>
          <w:szCs w:val="28"/>
        </w:rPr>
        <w:t xml:space="preserve"> with a full transcript.</w:t>
      </w:r>
    </w:p>
    <w:p>
      <w:pPr>
        <w:pStyle w:val="Heading2"/>
        <w:spacing w:after="110" w:before="240"/>
      </w:pPr>
      <w:r>
        <w:rPr>
          <w:rFonts w:ascii="Georgia" w:cs="Georgia" w:eastAsia="Georgia" w:hAnsi="Georgia"/>
          <w:b/>
          <w:bCs/>
          <w:color w:val="2F5233"/>
          <w:sz w:val="36"/>
          <w:szCs w:val="36"/>
        </w:rPr>
        <w:t xml:space="preserve">6.2  The 40-Day Foundational Assessment &amp; IDP</w:t>
      </w:r>
    </w:p>
    <w:p>
      <w:pPr>
        <w:spacing w:after="160" w:before="0" w:line="300"/>
      </w:pPr>
      <w:r>
        <w:rPr>
          <w:sz w:val="28"/>
          <w:szCs w:val="28"/>
        </w:rPr>
        <w:t xml:space="preserve">All incoming youth and young-adult participants (ages 10–24) complete a mandatory 40-Day Foundational Assessment at entry. It is a rigorous evaluation and immersion that produces each participant’s written Individual Development Plan (IDP) — the governing document of their journey — delivered to the participant and family within 45 days. The assessment looks at academic readiness, technical aptitude across all four divisions, behavioral consistency, interpersonal capacity, and each participant’s natural strengths. Division IV adults complete a condensed 10-Day Intake and are targeted for employment placement within 30 days.</w:t>
      </w:r>
    </w:p>
    <w:p>
      <w:pPr>
        <w:pStyle w:val="Heading2"/>
        <w:spacing w:after="110" w:before="240"/>
      </w:pPr>
      <w:r>
        <w:rPr>
          <w:rFonts w:ascii="Georgia" w:cs="Georgia" w:eastAsia="Georgia" w:hAnsi="Georgia"/>
          <w:b/>
          <w:bCs/>
          <w:color w:val="2F5233"/>
          <w:sz w:val="36"/>
          <w:szCs w:val="36"/>
        </w:rPr>
        <w:t xml:space="preserve">6.3  The 7-Pillar Assessment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How progress is measured</w:t>
            </w:r>
          </w:p>
          <w:p>
            <w:pPr>
              <w:pStyle w:val="ListParagraph"/>
              <w:numPr>
                <w:ilvl w:val="0"/>
                <w:numId w:val="2"/>
              </w:numPr>
              <w:spacing w:after="120" w:line="300"/>
            </w:pPr>
            <w:r>
              <w:rPr>
                <w:sz w:val="28"/>
                <w:szCs w:val="28"/>
              </w:rPr>
              <w:t xml:space="preserve">Every participant is evaluated across </w:t>
            </w:r>
            <w:r>
              <w:rPr>
                <w:b/>
                <w:bCs/>
                <w:sz w:val="28"/>
                <w:szCs w:val="28"/>
              </w:rPr>
              <w:t xml:space="preserve">seven performance pillars</w:t>
            </w:r>
            <w:r>
              <w:rPr>
                <w:sz w:val="28"/>
                <w:szCs w:val="28"/>
              </w:rPr>
              <w:t xml:space="preserve"> throughout the program year, using the method best suited to each pillar.</w:t>
            </w:r>
          </w:p>
          <w:p>
            <w:pPr>
              <w:pStyle w:val="ListParagraph"/>
              <w:numPr>
                <w:ilvl w:val="0"/>
                <w:numId w:val="2"/>
              </w:numPr>
              <w:spacing w:after="120" w:line="300"/>
            </w:pPr>
            <w:r>
              <w:rPr>
                <w:sz w:val="28"/>
                <w:szCs w:val="28"/>
              </w:rPr>
              <w:t xml:space="preserve">Every participant begins at a </w:t>
            </w:r>
            <w:r>
              <w:rPr>
                <w:b/>
                <w:bCs/>
                <w:sz w:val="28"/>
                <w:szCs w:val="28"/>
              </w:rPr>
              <w:t xml:space="preserve">50% baseline.</w:t>
            </w:r>
            <w:r>
              <w:rPr>
                <w:sz w:val="28"/>
                <w:szCs w:val="28"/>
              </w:rPr>
              <w:t xml:space="preserve"> This is a starting place, not a gift — every point above 50% is earned through demonstrated competency, discipline, and consistent performance.</w:t>
            </w:r>
          </w:p>
          <w:p>
            <w:pPr>
              <w:pStyle w:val="ListParagraph"/>
              <w:numPr>
                <w:ilvl w:val="0"/>
                <w:numId w:val="2"/>
              </w:numPr>
              <w:spacing w:after="120" w:line="300"/>
            </w:pPr>
            <w:r>
              <w:rPr>
                <w:sz w:val="28"/>
                <w:szCs w:val="28"/>
              </w:rPr>
              <w:t xml:space="preserve">There is a </w:t>
            </w:r>
            <w:r>
              <w:rPr>
                <w:b/>
                <w:bCs/>
                <w:sz w:val="28"/>
                <w:szCs w:val="28"/>
              </w:rPr>
              <w:t xml:space="preserve">77-question final exam.</w:t>
            </w:r>
          </w:p>
          <w:p>
            <w:pPr>
              <w:pStyle w:val="ListParagraph"/>
              <w:numPr>
                <w:ilvl w:val="0"/>
                <w:numId w:val="2"/>
              </w:numPr>
              <w:spacing w:after="0" w:line="300"/>
            </w:pPr>
            <w:r>
              <w:rPr>
                <w:sz w:val="28"/>
                <w:szCs w:val="28"/>
              </w:rPr>
              <w:t xml:space="preserve">Eligibility to perform in the National Artist of the World Showcase requires a </w:t>
            </w:r>
            <w:r>
              <w:rPr>
                <w:b/>
                <w:bCs/>
                <w:sz w:val="28"/>
                <w:szCs w:val="28"/>
              </w:rPr>
              <w:t xml:space="preserve">70% or higher overall score.</w:t>
            </w:r>
          </w:p>
        </w:tc>
      </w:tr>
    </w:tbl>
    <w:p>
      <w:pPr>
        <w:pStyle w:val="Heading2"/>
        <w:spacing w:after="110" w:before="240"/>
      </w:pPr>
      <w:r>
        <w:rPr>
          <w:rFonts w:ascii="Georgia" w:cs="Georgia" w:eastAsia="Georgia" w:hAnsi="Georgia"/>
          <w:b/>
          <w:bCs/>
          <w:color w:val="2F5233"/>
          <w:sz w:val="36"/>
          <w:szCs w:val="36"/>
        </w:rPr>
        <w:t xml:space="preserve">6.4  Certifications &amp; Program Completion</w:t>
      </w:r>
    </w:p>
    <w:p>
      <w:pPr>
        <w:spacing w:after="160" w:before="0" w:line="300"/>
      </w:pPr>
      <w:r>
        <w:rPr>
          <w:sz w:val="28"/>
          <w:szCs w:val="28"/>
        </w:rPr>
        <w:t xml:space="preserve">Certification is the mechanism that converts training into employment eligibility. Every NFLA program completer must obtain the required credential categories for their pathway before receiving an official Program Completion designation. Certification targets are set in each participant’s IDP and supported by the program (exam and preparation support is provided through scholarships and grant funding where available).</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7 — Complete Field Catalog</w:t>
      </w:r>
    </w:p>
    <w:p>
      <w:pPr>
        <w:spacing w:after="160" w:before="0" w:line="300"/>
      </w:pPr>
      <w:r>
        <w:rPr>
          <w:sz w:val="28"/>
          <w:szCs w:val="28"/>
        </w:rPr>
        <w:t xml:space="preserve">Below is the full catalog of fields by division. Every participant chooses a primary Agriculture field and a primary Arts field (the dual-core), and may add fields at higher tiers or by scholarship. Degree levels and certifications shown are the pathways each field prepares participants to pursue over time.</w:t>
      </w:r>
    </w:p>
    <w:p>
      <w:pPr>
        <w:pStyle w:val="Heading2"/>
        <w:spacing w:after="110" w:before="240"/>
      </w:pPr>
      <w:r>
        <w:rPr>
          <w:rFonts w:ascii="Georgia" w:cs="Georgia" w:eastAsia="Georgia" w:hAnsi="Georgia"/>
          <w:b/>
          <w:bCs/>
          <w:color w:val="2F5233"/>
          <w:sz w:val="36"/>
          <w:szCs w:val="36"/>
        </w:rPr>
        <w:t xml:space="preserve">7.1  Division I — Agriculture, Agriscience, Livestock &amp; Food Systems</w:t>
      </w:r>
    </w:p>
    <w:p>
      <w:pPr>
        <w:spacing w:after="160" w:before="0" w:line="300"/>
      </w:pPr>
      <w:r>
        <w:rPr>
          <w:sz w:val="28"/>
          <w:szCs w:val="28"/>
        </w:rPr>
        <w:t xml:space="preserve">Division I is the ground from which everything grows. Every participant grows something real, cares for something living, and sells something they produced — production agriculture with educational scaffolding.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80"/>
        <w:gridCol w:w="4480"/>
      </w:tblGrid>
      <w:tr>
        <w:trPr>
          <w:tblHeader/>
        </w:trPr>
        <w:tc>
          <w:tcPr>
            <w:tcW w:type="dxa" w:w="488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Field / Degree Path</w:t>
            </w:r>
          </w:p>
        </w:tc>
        <w:tc>
          <w:tcPr>
            <w:tcW w:type="dxa" w:w="448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Sample Certifications</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Sustainable Crop Production</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BQA, USDA GAP, NC Pesticide License</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Livestock Management</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BQA Certification, AI Technician License</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Agriscience &amp; Research</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USDA Certification, Lab Safety</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Animal Reproduction &amp; Breeding</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AI Technician License, BQA</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Veterinary Technology</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Vet Tech License (VTNE), State License</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Food Science &amp; Safety</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ServSafe Manager, HACCP</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Horticulture &amp; Landscaping</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NC Pesticide License, ISA Arborist</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Aquaculture &amp; Marine Science</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USDA Aquaculture Certification</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Culinary Arts &amp; Farm-to-Table</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ServSafe Manager, ACF Certification</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Agricultural Business &amp; Marketing</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USDA Grant Writing, Business License</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Environmental Science</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EPA Certification, NEPA Training</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Soil Science &amp; Conservation</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NRCS Technical Certification</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Forestry &amp; Wildlife Management</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NC Forestry License</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Agricultural Education</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NC Teaching License (CTE)</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Botany &amp; Plant Science</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Botanical Research Certification</w:t>
            </w:r>
          </w:p>
        </w:tc>
      </w:tr>
      <w:tr>
        <w:tc>
          <w:tcPr>
            <w:tcW w:type="dxa" w:w="48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Pre-Veterinary Medicine</w:t>
            </w:r>
          </w:p>
        </w:tc>
        <w:tc>
          <w:tcPr>
            <w:tcW w:type="dxa" w:w="44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AVMA Pre-Accreditation pathway</w:t>
            </w:r>
          </w:p>
        </w:tc>
      </w:tr>
    </w:tbl>
    <w:p>
      <w:pPr>
        <w:pStyle w:val="Heading2"/>
        <w:spacing w:after="110" w:before="240"/>
      </w:pPr>
      <w:r>
        <w:rPr>
          <w:rFonts w:ascii="Georgia" w:cs="Georgia" w:eastAsia="Georgia" w:hAnsi="Georgia"/>
          <w:b/>
          <w:bCs/>
          <w:color w:val="2F5233"/>
          <w:sz w:val="36"/>
          <w:szCs w:val="36"/>
        </w:rPr>
        <w:t xml:space="preserve">7.2  Division II — Arts, Media &amp; Performance (30 Disciplines)</w:t>
      </w:r>
    </w:p>
    <w:p>
      <w:pPr>
        <w:spacing w:after="160" w:before="0" w:line="300"/>
      </w:pPr>
      <w:r>
        <w:rPr>
          <w:sz w:val="28"/>
          <w:szCs w:val="28"/>
        </w:rPr>
        <w:t xml:space="preserve">Division II is where the soul of the program becomes audible, visible, and commercially viable. Every music student records a professionally produced original song; every dance student performs before a live audience; every media student produces a real piece of work.</w:t>
      </w:r>
    </w:p>
    <w:p>
      <w:pPr>
        <w:pStyle w:val="Heading3"/>
        <w:spacing w:after="90" w:before="180"/>
      </w:pPr>
      <w:r>
        <w:rPr>
          <w:b/>
          <w:bCs/>
          <w:color w:val="0B2545"/>
          <w:sz w:val="30"/>
          <w:szCs w:val="30"/>
        </w:rPr>
        <w:t xml:space="preserve">Performing Arts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 Vocal Performance &amp; Singing</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 Instrumental Music</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3. Songwriting &amp; Music Composition</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4. Theater &amp; Stage Performance</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5. Dance — Contemporary, Hip-Hop</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6. Dance — African Diaspora &amp; Cultural</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7. Spoken Word &amp; Poetry Performance</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8. Stand-Up Comedy &amp; Live Performance</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9. Choreography &amp; Movement Direction</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10. Modeling &amp; Runway Performance</w:t>
            </w:r>
          </w:p>
        </w:tc>
      </w:tr>
    </w:tbl>
    <w:p>
      <w:pPr>
        <w:pStyle w:val="Heading3"/>
        <w:spacing w:after="90" w:before="180"/>
      </w:pPr>
      <w:r>
        <w:rPr>
          <w:b/>
          <w:bCs/>
          <w:color w:val="0B2545"/>
          <w:sz w:val="30"/>
          <w:szCs w:val="30"/>
        </w:rPr>
        <w:t xml:space="preserve">Media &amp; Production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11. Music Production &amp; Recording</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12. Audio Engineering &amp; Studio Technique</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13. Film &amp; Cinematography</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14. Video Production &amp; Editing</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15. Broadcast Journalism &amp; Media</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16. Playwriting &amp; Screenwriting</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17. Podcast Production &amp; Radio Arts</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18. Animation &amp; Motion Graphics</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19. Digital Content Creation &amp; Social Media</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20. Music Business &amp; Artist Management</w:t>
            </w:r>
          </w:p>
        </w:tc>
      </w:tr>
    </w:tbl>
    <w:p>
      <w:pPr>
        <w:pStyle w:val="Heading3"/>
        <w:spacing w:after="90" w:before="180"/>
      </w:pPr>
      <w:r>
        <w:rPr>
          <w:b/>
          <w:bCs/>
          <w:color w:val="0B2545"/>
          <w:sz w:val="30"/>
          <w:szCs w:val="30"/>
        </w:rPr>
        <w:t xml:space="preserve">Visual &amp; Design Arts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21. Graphic Design &amp; Typography</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22. Photography — Portrait, Editorial</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23. Fashion Design &amp; Textile Arts</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24. Makeup Artistry &amp; Beauty Arts</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25. Illustration &amp; Fine Art</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26. Costume Design &amp; Wardrobe Styling</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27. Brand Design &amp; Visual Identity</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28. Creative Direction</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29. Art Direction &amp; Visual Storytelling</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30. Set Design &amp; Stage Production</w:t>
            </w:r>
          </w:p>
        </w:tc>
      </w:tr>
    </w:tbl>
    <w:p>
      <w:pPr>
        <w:pStyle w:val="Heading2"/>
        <w:spacing w:after="110" w:before="240"/>
      </w:pPr>
      <w:r>
        <w:rPr>
          <w:rFonts w:ascii="Georgia" w:cs="Georgia" w:eastAsia="Georgia" w:hAnsi="Georgia"/>
          <w:b/>
          <w:bCs/>
          <w:color w:val="2F5233"/>
          <w:sz w:val="36"/>
          <w:szCs w:val="36"/>
        </w:rPr>
        <w:t xml:space="preserve">7.3  Division III — Entrepreneurship, Technology &amp; Sciences</w:t>
      </w:r>
    </w:p>
    <w:p>
      <w:pPr>
        <w:spacing w:after="160" w:before="0" w:line="300"/>
      </w:pPr>
      <w:r>
        <w:rPr>
          <w:sz w:val="28"/>
          <w:szCs w:val="28"/>
        </w:rPr>
        <w:t xml:space="preserve">Division III turns ideas into ventures and gives participants the digital fluency and wellness science the modern economy demands.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Entrepreneurship &amp; Business Formation</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Financial Literacy &amp; Money Management</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Digital Marketing &amp; Social Media Strategy</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Web &amp; Application Development</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Cybersecurity Fundamentals</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Data Science Fundamentals</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Music &amp; Audio Business</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Branding &amp; Design</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Sports Therapy &amp; Injury Prevention</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Naturopathic &amp; Holistic Wellness</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Wellness &amp; Movement Science</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Nutrition for Athletes &amp; Dancers</w:t>
            </w:r>
          </w:p>
        </w:tc>
      </w:tr>
    </w:tbl>
    <w:p>
      <w:pPr>
        <w:pStyle w:val="Heading2"/>
        <w:spacing w:after="110" w:before="240"/>
      </w:pPr>
      <w:r>
        <w:rPr>
          <w:rFonts w:ascii="Georgia" w:cs="Georgia" w:eastAsia="Georgia" w:hAnsi="Georgia"/>
          <w:b/>
          <w:bCs/>
          <w:color w:val="2F5233"/>
          <w:sz w:val="36"/>
          <w:szCs w:val="36"/>
        </w:rPr>
        <w:t xml:space="preserve">7.4  Division IV — Adult Employment &amp; Certification (18+)</w:t>
      </w:r>
    </w:p>
    <w:p>
      <w:pPr>
        <w:spacing w:after="160" w:before="0" w:line="300"/>
      </w:pPr>
      <w:r>
        <w:rPr>
          <w:sz w:val="28"/>
          <w:szCs w:val="28"/>
        </w:rPr>
        <w:t xml:space="preserve">Division IV is the adult economic response unit. Employment is the entry point; training happens around the job and in preparation for advancement. Participants pursue licensed, credentialed, high-demand careers.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4160"/>
      </w:tblGrid>
      <w:tr>
        <w:trPr>
          <w:tblHeader/>
        </w:trPr>
        <w:tc>
          <w:tcPr>
            <w:tcW w:type="dxa" w:w="52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Certification / Pathway</w:t>
            </w:r>
          </w:p>
        </w:tc>
        <w:tc>
          <w:tcPr>
            <w:tcW w:type="dxa" w:w="41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Sector</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CDL Class A</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Transportation &amp; Logistics</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Life &amp; Health Insurance License</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Financial Services</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Real Estate Licensing</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Real Estate</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CompTIA Security+</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Cybersecurity / IT</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HVAC Certification</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Skilled Trades</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OSHA 30</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Workplace Safety / Construction</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BQA (Beef Quality Assurance)</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Agriculture / Livestock</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ServSafe Manager</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Food Service &amp; Safety</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No one is turned away</w:t>
            </w:r>
          </w:p>
          <w:p>
            <w:pPr>
              <w:spacing w:after="0" w:before="0" w:line="300"/>
            </w:pPr>
            <w:r>
              <w:rPr>
                <w:sz w:val="26"/>
                <w:szCs w:val="26"/>
              </w:rPr>
              <w:t xml:space="preserve">No student is excluded for inability to pay. Scholarship coverage is available for qualifying households below 200% of the federal poverty line, and payment plans are available for every family. See Part V.</w:t>
            </w:r>
          </w:p>
        </w:tc>
      </w:tr>
    </w:tbl>
    <w:p>
      <w:pPr>
        <w:pageBreakBefore/>
        <w:spacing w:after="0" w:before="2600"/>
        <w:jc w:val="center"/>
      </w:pPr>
      <w:r>
        <w:rPr>
          <w:rFonts w:ascii="Georgia" w:cs="Georgia" w:eastAsia="Georgia" w:hAnsi="Georgia"/>
          <w:b/>
          <w:bCs/>
          <w:caps/>
          <w:color w:val="B8860B"/>
          <w:sz w:val="40"/>
          <w:szCs w:val="40"/>
        </w:rPr>
        <w:t xml:space="preserve">PART III</w:t>
      </w:r>
    </w:p>
    <w:p>
      <w:pPr>
        <w:pBdr>
          <w:top w:val="single" w:color="0B2545" w:sz="12" w:space="14"/>
          <w:bottom w:val="single" w:color="0B2545" w:sz="12" w:space="14"/>
        </w:pBdr>
        <w:spacing w:after="200" w:before="120"/>
        <w:jc w:val="center"/>
      </w:pPr>
      <w:r>
        <w:rPr>
          <w:rFonts w:ascii="Georgia" w:cs="Georgia" w:eastAsia="Georgia" w:hAnsi="Georgia"/>
          <w:b/>
          <w:bCs/>
          <w:color w:val="0B2545"/>
          <w:sz w:val="56"/>
          <w:szCs w:val="56"/>
        </w:rPr>
        <w:t xml:space="preserve">The National Organizations</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8 — The Six NA³-Chartered Organizations</w:t>
      </w:r>
    </w:p>
    <w:p>
      <w:pPr>
        <w:spacing w:after="160" w:before="0" w:line="300"/>
      </w:pPr>
      <w:r>
        <w:rPr>
          <w:sz w:val="28"/>
          <w:szCs w:val="28"/>
        </w:rPr>
        <w:t xml:space="preserve">NFLA charters six national organizations across two tiers — three youth honor societies for participants 18 and under, and three adult fraternities/organizations for participants 18 and older. These are not given; they are earned. They recognize achievement, leadership, and service, and they are a central way we hold members to a higher standard.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Two tiers, one standard of excellence</w:t>
            </w:r>
          </w:p>
          <w:p>
            <w:pPr>
              <w:pStyle w:val="ListParagraph"/>
              <w:numPr>
                <w:ilvl w:val="0"/>
                <w:numId w:val="2"/>
              </w:numPr>
              <w:spacing w:after="120" w:line="300"/>
            </w:pPr>
            <w:r>
              <w:rPr>
                <w:b/>
                <w:bCs/>
                <w:sz w:val="28"/>
                <w:szCs w:val="28"/>
              </w:rPr>
              <w:t xml:space="preserve">Youth (ages 18 &amp; under) — the Nu Upsilon chapter. </w:t>
            </w:r>
            <w:r>
              <w:rPr>
                <w:sz w:val="28"/>
                <w:szCs w:val="28"/>
              </w:rPr>
              <w:t xml:space="preserve">Honor societies in Arts, Agriculture, and Entrepreneurship.</w:t>
            </w:r>
          </w:p>
          <w:p>
            <w:pPr>
              <w:pStyle w:val="ListParagraph"/>
              <w:numPr>
                <w:ilvl w:val="0"/>
                <w:numId w:val="2"/>
              </w:numPr>
              <w:spacing w:after="0" w:line="300"/>
            </w:pPr>
            <w:r>
              <w:rPr>
                <w:b/>
                <w:bCs/>
                <w:sz w:val="28"/>
                <w:szCs w:val="28"/>
              </w:rPr>
              <w:t xml:space="preserve">Adult (ages 18 &amp; older). </w:t>
            </w:r>
            <w:r>
              <w:rPr>
                <w:sz w:val="28"/>
                <w:szCs w:val="28"/>
              </w:rPr>
              <w:t xml:space="preserve">Professional fraternities/organizations in Agriculture, Performing Arts, and Entrepreneurship.</w:t>
            </w:r>
          </w:p>
        </w:tc>
      </w:tr>
    </w:tbl>
    <w:p>
      <w:pPr>
        <w:pStyle w:val="Heading2"/>
        <w:spacing w:after="110" w:before="240"/>
      </w:pPr>
      <w:r>
        <w:rPr>
          <w:rFonts w:ascii="Georgia" w:cs="Georgia" w:eastAsia="Georgia" w:hAnsi="Georgia"/>
          <w:b/>
          <w:bCs/>
          <w:color w:val="2F5233"/>
          <w:sz w:val="36"/>
          <w:szCs w:val="36"/>
        </w:rPr>
        <w:t xml:space="preserve">8.1  How Members Are Selected</w:t>
      </w:r>
    </w:p>
    <w:p>
      <w:pPr>
        <w:spacing w:after="160" w:before="0" w:line="300"/>
      </w:pPr>
      <w:r>
        <w:rPr>
          <w:sz w:val="28"/>
          <w:szCs w:val="28"/>
        </w:rPr>
        <w:t xml:space="preserve">Membership in the youth honor societies is earned in one of two ways, plus good standing:</w:t>
      </w:r>
    </w:p>
    <w:p>
      <w:pPr>
        <w:pStyle w:val="ListParagraph"/>
        <w:numPr>
          <w:ilvl w:val="0"/>
          <w:numId w:val="2"/>
        </w:numPr>
        <w:spacing w:after="120" w:line="300"/>
      </w:pPr>
      <w:r>
        <w:rPr>
          <w:b/>
          <w:bCs/>
          <w:sz w:val="28"/>
          <w:szCs w:val="28"/>
        </w:rPr>
        <w:t xml:space="preserve">Academic merit — </w:t>
      </w:r>
      <w:r>
        <w:rPr>
          <w:sz w:val="28"/>
          <w:szCs w:val="28"/>
        </w:rPr>
        <w:t xml:space="preserve">maintaining the minimum cumulative GPA set by the program (for example, a 3.0), together with a qualifying 7-Pillar score; OR</w:t>
      </w:r>
    </w:p>
    <w:p>
      <w:pPr>
        <w:pStyle w:val="ListParagraph"/>
        <w:numPr>
          <w:ilvl w:val="0"/>
          <w:numId w:val="2"/>
        </w:numPr>
        <w:spacing w:after="120" w:line="300"/>
      </w:pPr>
      <w:r>
        <w:rPr>
          <w:b/>
          <w:bCs/>
          <w:sz w:val="28"/>
          <w:szCs w:val="28"/>
        </w:rPr>
        <w:t xml:space="preserve">Recommendation — </w:t>
      </w:r>
      <w:r>
        <w:rPr>
          <w:sz w:val="28"/>
          <w:szCs w:val="28"/>
        </w:rPr>
        <w:t xml:space="preserve">nomination by select officials (the Program Director and/or Division instructors) based on talent, character, and contribution.</w:t>
      </w:r>
    </w:p>
    <w:p>
      <w:pPr>
        <w:spacing w:after="160" w:before="0" w:line="300"/>
      </w:pPr>
      <w:r>
        <w:rPr>
          <w:sz w:val="28"/>
          <w:szCs w:val="28"/>
        </w:rPr>
        <w:t xml:space="preserve">In addition, candidates must complete at least one full course cycle in the relevant field, present a qualifying public performance, portfolio, or market project, and remain in good conduct standing under Part VII. Adult fraternity membership is earned through program completion, demonstrated professional excellence, and official recommendation.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Membership is a privilege — and a responsibility</w:t>
            </w:r>
          </w:p>
          <w:p>
            <w:pPr>
              <w:spacing w:after="0" w:before="0" w:line="300"/>
            </w:pPr>
            <w:r>
              <w:rPr>
                <w:sz w:val="26"/>
                <w:szCs w:val="26"/>
              </w:rPr>
              <w:t xml:space="preserve">Members represent NFLA on and off the stage, the field, and the marketplace. Members are held to the highest conduct standard, mentor younger participants, serve the community, and may have their membership reviewed if they fall below the academic, performance, or conduct standards. Hazing of any kind is strictly prohibited (see Part VII).</w:t>
            </w:r>
          </w:p>
        </w:tc>
      </w:tr>
    </w:tbl>
    <w:p>
      <w:pPr>
        <w:pStyle w:val="Heading2"/>
        <w:spacing w:after="110" w:before="240"/>
      </w:pPr>
      <w:r>
        <w:rPr>
          <w:rFonts w:ascii="Georgia" w:cs="Georgia" w:eastAsia="Georgia" w:hAnsi="Georgia"/>
          <w:b/>
          <w:bCs/>
          <w:color w:val="2F5233"/>
          <w:sz w:val="36"/>
          <w:szCs w:val="36"/>
        </w:rPr>
        <w:t xml:space="preserve">8.2  Youth Honor Societies (Ages 18 &amp; Under) — Nu Upsilon Chapter</w:t>
      </w:r>
    </w:p>
    <w:p>
      <w:pPr>
        <w:pStyle w:val="Heading3"/>
        <w:spacing w:after="90" w:before="180"/>
      </w:pPr>
      <w:r>
        <w:rPr>
          <w:b/>
          <w:bCs/>
          <w:color w:val="0B2545"/>
          <w:sz w:val="30"/>
          <w:szCs w:val="30"/>
        </w:rPr>
        <w:t xml:space="preserve">Nu Upsilon Alpha — National Youth Artists, Inc.</w:t>
      </w:r>
    </w:p>
    <w:p>
      <w:pPr>
        <w:spacing w:after="160" w:before="0" w:line="300"/>
      </w:pPr>
      <w:r>
        <w:rPr>
          <w:sz w:val="28"/>
          <w:szCs w:val="28"/>
        </w:rPr>
        <w:t xml:space="preserve">The youth arts honor society. Members are young artists who have demonstrated excellence across the 30 arts disciplines — from music production and dance to film, fashion, and creative direction. Membership is earned by completing an arts course cycle and presenting a qualifying public performance or portfolio, and by meeting the GPA or recommendation standard. Nu Upsilon Alpha builds a brotherhood and sisterhood of young artists committed to craft, discipline, and community impact.</w:t>
      </w:r>
    </w:p>
    <w:p>
      <w:pPr>
        <w:spacing w:after="160" w:before="0" w:line="300"/>
      </w:pPr>
      <w:r>
        <w:rPr>
          <w:b/>
          <w:bCs/>
          <w:sz w:val="28"/>
          <w:szCs w:val="28"/>
        </w:rPr>
        <w:t xml:space="preserve">Governing Division: </w:t>
      </w:r>
      <w:r>
        <w:rPr>
          <w:sz w:val="28"/>
          <w:szCs w:val="28"/>
        </w:rPr>
        <w:t xml:space="preserve">Division II — Arts, Media &amp; Performance.</w:t>
      </w:r>
    </w:p>
    <w:p>
      <w:pPr>
        <w:pStyle w:val="Heading3"/>
        <w:spacing w:after="90" w:before="180"/>
      </w:pPr>
      <w:r>
        <w:rPr>
          <w:b/>
          <w:bCs/>
          <w:color w:val="0B2545"/>
          <w:sz w:val="30"/>
          <w:szCs w:val="30"/>
        </w:rPr>
        <w:t xml:space="preserve">Nu Upsilon Phi — National Youth Farmers, Inc.</w:t>
      </w:r>
    </w:p>
    <w:p>
      <w:pPr>
        <w:spacing w:after="160" w:before="0" w:line="300"/>
      </w:pPr>
      <w:r>
        <w:rPr>
          <w:sz w:val="28"/>
          <w:szCs w:val="28"/>
        </w:rPr>
        <w:t xml:space="preserve">The youth agriculture honor society. Members are young agriculturalists grounded in production agriculture, agriscience, livestock care, food systems, and the cultural heritage of the land. Members care for living things, grow real food, and bring it to market. Membership is earned through agricultural course completion, market or production achievement, and the GPA or recommendation standard.</w:t>
      </w:r>
    </w:p>
    <w:p>
      <w:pPr>
        <w:spacing w:after="160" w:before="0" w:line="300"/>
      </w:pPr>
      <w:r>
        <w:rPr>
          <w:b/>
          <w:bCs/>
          <w:sz w:val="28"/>
          <w:szCs w:val="28"/>
        </w:rPr>
        <w:t xml:space="preserve">Governing Division: </w:t>
      </w:r>
      <w:r>
        <w:rPr>
          <w:sz w:val="28"/>
          <w:szCs w:val="28"/>
        </w:rPr>
        <w:t xml:space="preserve">Division I — Agriculture, Food Systems &amp; Environmental Science.</w:t>
      </w:r>
    </w:p>
    <w:p>
      <w:pPr>
        <w:pStyle w:val="Heading3"/>
        <w:spacing w:after="90" w:before="180"/>
      </w:pPr>
      <w:r>
        <w:rPr>
          <w:b/>
          <w:bCs/>
          <w:color w:val="0B2545"/>
          <w:sz w:val="30"/>
          <w:szCs w:val="30"/>
        </w:rPr>
        <w:t xml:space="preserve">Nu Upsilon Epsilon — National Youth Entrepreneurs, Inc.</w:t>
      </w:r>
    </w:p>
    <w:p>
      <w:pPr>
        <w:spacing w:after="160" w:before="0" w:line="300"/>
      </w:pPr>
      <w:r>
        <w:rPr>
          <w:sz w:val="28"/>
          <w:szCs w:val="28"/>
        </w:rPr>
        <w:t xml:space="preserve">The youth entrepreneurship honor society. Members learn business formation, financial literacy, digital marketing, and — most importantly — the business of the arts and agriculture. They are the producers behind the performers and the managers behind the market: organizing budgets, marketing, and operations for NFLA’s public events. Membership is earned through entrepreneurship course completion, a qualifying venture or event-production role, and the GPA or recommendation standard.</w:t>
      </w:r>
    </w:p>
    <w:p>
      <w:pPr>
        <w:spacing w:after="160" w:before="0" w:line="300"/>
      </w:pPr>
      <w:r>
        <w:rPr>
          <w:b/>
          <w:bCs/>
          <w:sz w:val="28"/>
          <w:szCs w:val="28"/>
        </w:rPr>
        <w:t xml:space="preserve">Governing Division: </w:t>
      </w:r>
      <w:r>
        <w:rPr>
          <w:sz w:val="28"/>
          <w:szCs w:val="28"/>
        </w:rPr>
        <w:t xml:space="preserve">Division III — Entrepreneurship, Technology &amp; Sciences.</w:t>
      </w:r>
    </w:p>
    <w:p>
      <w:pPr>
        <w:pStyle w:val="Heading2"/>
        <w:spacing w:after="110" w:before="240"/>
      </w:pPr>
      <w:r>
        <w:rPr>
          <w:rFonts w:ascii="Georgia" w:cs="Georgia" w:eastAsia="Georgia" w:hAnsi="Georgia"/>
          <w:b/>
          <w:bCs/>
          <w:color w:val="2F5233"/>
          <w:sz w:val="36"/>
          <w:szCs w:val="36"/>
        </w:rPr>
        <w:t xml:space="preserve">8.3  Adult Fraternities &amp; Organizations (Ages 18 &amp; Older)</w:t>
      </w:r>
    </w:p>
    <w:p>
      <w:pPr>
        <w:pStyle w:val="Heading3"/>
        <w:spacing w:after="90" w:before="180"/>
      </w:pPr>
      <w:r>
        <w:rPr>
          <w:b/>
          <w:bCs/>
          <w:color w:val="0B2545"/>
          <w:sz w:val="30"/>
          <w:szCs w:val="30"/>
        </w:rPr>
        <w:t xml:space="preserve">Beta Phi Omicron — Black Farmers Organization, Inc.</w:t>
      </w:r>
    </w:p>
    <w:p>
      <w:pPr>
        <w:spacing w:after="160" w:before="0" w:line="300"/>
      </w:pPr>
      <w:r>
        <w:rPr>
          <w:sz w:val="28"/>
          <w:szCs w:val="28"/>
        </w:rPr>
        <w:t xml:space="preserve">An adult Black farmers fraternity into which adult agriculture participants graduate from the program and the adult workforce track. Beta Phi Omicron connects NFLA’s agricultural mission to a broader network of Black farmers, agrarians, and food-systems practitioners — advancing food sovereignty, sustainable farming, and community food education. Its long-term vision is to hold land, operate working farms, and serve as a resource hub for Black agricultural entrepreneurs across the region.</w:t>
      </w:r>
    </w:p>
    <w:p>
      <w:pPr>
        <w:spacing w:after="160" w:before="0" w:line="300"/>
      </w:pPr>
      <w:r>
        <w:rPr>
          <w:b/>
          <w:bCs/>
          <w:sz w:val="28"/>
          <w:szCs w:val="28"/>
        </w:rPr>
        <w:t xml:space="preserve">Governing Division: </w:t>
      </w:r>
      <w:r>
        <w:rPr>
          <w:sz w:val="28"/>
          <w:szCs w:val="28"/>
        </w:rPr>
        <w:t xml:space="preserve">Division I (Adult Track) — Agricultural Education &amp; Food Sovereignty.</w:t>
      </w:r>
    </w:p>
    <w:p>
      <w:pPr>
        <w:pStyle w:val="Heading3"/>
        <w:spacing w:after="90" w:before="180"/>
      </w:pPr>
      <w:r>
        <w:rPr>
          <w:b/>
          <w:bCs/>
          <w:color w:val="0B2545"/>
          <w:sz w:val="30"/>
          <w:szCs w:val="30"/>
        </w:rPr>
        <w:t xml:space="preserve">Pi Alpha Omega — Performing Arts Organization, Inc.</w:t>
      </w:r>
    </w:p>
    <w:p>
      <w:pPr>
        <w:spacing w:after="160" w:before="0" w:line="300"/>
      </w:pPr>
      <w:r>
        <w:rPr>
          <w:sz w:val="28"/>
          <w:szCs w:val="28"/>
        </w:rPr>
        <w:t xml:space="preserve">A visual and performing arts fraternity of multitalented individuals — on and off the stage. Pi Alpha Omega is where NFLA develops creative directors and choreographers, as well as producers, designers, and performing artists who can both create and lead. Members engage in advanced performance, professional auditions, community productions, and mentorship of youth artists. The organization is designed to become a producing arts brand in its own right — commissioning work, organizing ticketed performances, and building professional artist pipelines.</w:t>
      </w:r>
    </w:p>
    <w:p>
      <w:pPr>
        <w:spacing w:after="160" w:before="0" w:line="300"/>
      </w:pPr>
      <w:r>
        <w:rPr>
          <w:b/>
          <w:bCs/>
          <w:sz w:val="28"/>
          <w:szCs w:val="28"/>
        </w:rPr>
        <w:t xml:space="preserve">Governing Division: </w:t>
      </w:r>
      <w:r>
        <w:rPr>
          <w:sz w:val="28"/>
          <w:szCs w:val="28"/>
        </w:rPr>
        <w:t xml:space="preserve">Division II (Adult Track) — Professional Performance &amp; Arts Leadership.</w:t>
      </w:r>
    </w:p>
    <w:p>
      <w:pPr>
        <w:pStyle w:val="Heading3"/>
        <w:spacing w:after="90" w:before="180"/>
      </w:pPr>
      <w:r>
        <w:rPr>
          <w:b/>
          <w:bCs/>
          <w:color w:val="0B2545"/>
          <w:sz w:val="30"/>
          <w:szCs w:val="30"/>
        </w:rPr>
        <w:t xml:space="preserve">Epsilon Omicron Alpha — Entrepreneurs of America, Inc.</w:t>
      </w:r>
    </w:p>
    <w:p>
      <w:pPr>
        <w:spacing w:after="160" w:before="0" w:line="300"/>
      </w:pPr>
      <w:r>
        <w:rPr>
          <w:sz w:val="28"/>
          <w:szCs w:val="28"/>
        </w:rPr>
        <w:t xml:space="preserve">A fraternity of the top business owners and innovators in America that NA³ birthed. Epsilon Omicron Alpha governs the adult workforce-development and business-building track. Members pursue licensed, credentialed careers — CDL, insurance, real estate, cybersecurity, HVAC, OSHA, BQA — and build and scale businesses, serving as mentors to youth entrepreneurs and as professional advisors to participants entering the job market. The organization embodies NFLA’s core commitment: turning certification into employment, employment into ownership, and ownership into legacy.</w:t>
      </w:r>
    </w:p>
    <w:p>
      <w:pPr>
        <w:spacing w:after="160" w:before="0" w:line="300"/>
      </w:pPr>
      <w:r>
        <w:rPr>
          <w:b/>
          <w:bCs/>
          <w:sz w:val="28"/>
          <w:szCs w:val="28"/>
        </w:rPr>
        <w:t xml:space="preserve">Governing Division: </w:t>
      </w:r>
      <w:r>
        <w:rPr>
          <w:sz w:val="28"/>
          <w:szCs w:val="28"/>
        </w:rPr>
        <w:t xml:space="preserve">Division III / IV (Adult Track) — Workforce Certification &amp; Business Development.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3E9CE" w:color="auto" w:val="clear"/>
            <w:tcMar>
              <w:top w:type="dxa" w:w="140"/>
              <w:left w:type="dxa" w:w="200"/>
              <w:bottom w:type="dxa" w:w="140"/>
              <w:right w:type="dxa" w:w="160"/>
            </w:tcMar>
          </w:tcPr>
          <w:p>
            <w:pPr>
              <w:spacing w:after="80"/>
            </w:pPr>
            <w:r>
              <w:rPr>
                <w:b/>
                <w:bCs/>
                <w:color w:val="0B2545"/>
                <w:sz w:val="30"/>
                <w:szCs w:val="30"/>
              </w:rPr>
              <w:t xml:space="preserve">At a glance — the six organizations</w:t>
            </w:r>
          </w:p>
          <w:p>
            <w:pPr>
              <w:spacing w:after="80" w:before="0" w:line="300"/>
            </w:pPr>
            <w:r>
              <w:rPr>
                <w:b/>
                <w:bCs/>
                <w:sz w:val="28"/>
                <w:szCs w:val="28"/>
              </w:rPr>
              <w:t xml:space="preserve">Youth (18 &amp; under): </w:t>
            </w:r>
            <w:r>
              <w:rPr>
                <w:sz w:val="28"/>
                <w:szCs w:val="28"/>
              </w:rPr>
              <w:t xml:space="preserve">Nu Upsilon Alpha (Artists)  ·  Nu Upsilon Phi (Farmers)  ·  Nu Upsilon Epsilon (Entrepreneurs)</w:t>
            </w:r>
          </w:p>
          <w:p>
            <w:pPr>
              <w:spacing w:after="0" w:before="0" w:line="300"/>
            </w:pPr>
            <w:r>
              <w:rPr>
                <w:b/>
                <w:bCs/>
                <w:sz w:val="28"/>
                <w:szCs w:val="28"/>
              </w:rPr>
              <w:t xml:space="preserve">Adult (18 &amp; older): </w:t>
            </w:r>
            <w:r>
              <w:rPr>
                <w:sz w:val="28"/>
                <w:szCs w:val="28"/>
              </w:rPr>
              <w:t xml:space="preserve">Beta Phi Omicron (Black Farmers)  ·  Pi Alpha Omega (Performing Arts)  ·  Epsilon Omicron Alpha (Entrepreneurs of America)</w:t>
            </w:r>
          </w:p>
        </w:tc>
      </w:tr>
    </w:tbl>
    <w:p>
      <w:pPr>
        <w:pageBreakBefore/>
        <w:spacing w:after="0" w:before="2600"/>
        <w:jc w:val="center"/>
      </w:pPr>
      <w:r>
        <w:rPr>
          <w:rFonts w:ascii="Georgia" w:cs="Georgia" w:eastAsia="Georgia" w:hAnsi="Georgia"/>
          <w:b/>
          <w:bCs/>
          <w:caps/>
          <w:color w:val="B8860B"/>
          <w:sz w:val="40"/>
          <w:szCs w:val="40"/>
        </w:rPr>
        <w:t xml:space="preserve">PART IV</w:t>
      </w:r>
    </w:p>
    <w:p>
      <w:pPr>
        <w:pBdr>
          <w:top w:val="single" w:color="0B2545" w:sz="12" w:space="14"/>
          <w:bottom w:val="single" w:color="0B2545" w:sz="12" w:space="14"/>
        </w:pBdr>
        <w:spacing w:after="200" w:before="120"/>
        <w:jc w:val="center"/>
      </w:pPr>
      <w:r>
        <w:rPr>
          <w:rFonts w:ascii="Georgia" w:cs="Georgia" w:eastAsia="Georgia" w:hAnsi="Georgia"/>
          <w:b/>
          <w:bCs/>
          <w:color w:val="0B2545"/>
          <w:sz w:val="56"/>
          <w:szCs w:val="56"/>
        </w:rPr>
        <w:t xml:space="preserve">The Four National Competitions</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9 — The Four National Competitions</w:t>
      </w:r>
    </w:p>
    <w:p>
      <w:pPr>
        <w:spacing w:after="160" w:before="0" w:line="300"/>
      </w:pPr>
      <w:r>
        <w:rPr>
          <w:sz w:val="28"/>
          <w:szCs w:val="28"/>
        </w:rPr>
        <w:t xml:space="preserve">Competition is built directly into the NFLA curriculum — preparation begins on Day 1 and is embedded in every program block. Four major national competitions anchor the program, and every field participates. Competition results directly influence scholarship eligibility, internship placement priority, leadership advancement, and employment prioritization.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Every competition runs in a Youth and an Adult version</w:t>
            </w:r>
          </w:p>
          <w:p>
            <w:pPr>
              <w:pStyle w:val="ListParagraph"/>
              <w:numPr>
                <w:ilvl w:val="0"/>
                <w:numId w:val="2"/>
              </w:numPr>
              <w:spacing w:after="120" w:line="300"/>
            </w:pPr>
            <w:r>
              <w:rPr>
                <w:b/>
                <w:bCs/>
                <w:sz w:val="28"/>
                <w:szCs w:val="28"/>
              </w:rPr>
              <w:t xml:space="preserve">Youth Division — ages 18 &amp; under.</w:t>
            </w:r>
          </w:p>
          <w:p>
            <w:pPr>
              <w:pStyle w:val="ListParagraph"/>
              <w:numPr>
                <w:ilvl w:val="0"/>
                <w:numId w:val="2"/>
              </w:numPr>
              <w:spacing w:after="120" w:line="300"/>
            </w:pPr>
            <w:r>
              <w:rPr>
                <w:b/>
                <w:bCs/>
                <w:sz w:val="28"/>
                <w:szCs w:val="28"/>
              </w:rPr>
              <w:t xml:space="preserve">Adult Division — ages 18 &amp; older.</w:t>
            </w:r>
          </w:p>
          <w:p>
            <w:pPr>
              <w:pStyle w:val="ListParagraph"/>
              <w:numPr>
                <w:ilvl w:val="0"/>
                <w:numId w:val="2"/>
              </w:numPr>
              <w:spacing w:after="0" w:line="300"/>
            </w:pPr>
            <w:r>
              <w:rPr>
                <w:sz w:val="28"/>
                <w:szCs w:val="28"/>
              </w:rPr>
              <w:t xml:space="preserve">The NA³ Universal Competition (9.4) is the exception — it brings every age and every field together at once, because no age defines your talent.</w:t>
            </w:r>
          </w:p>
        </w:tc>
      </w:tr>
    </w:tbl>
    <w:p>
      <w:pPr>
        <w:pStyle w:val="Heading2"/>
        <w:spacing w:after="110" w:before="240"/>
      </w:pPr>
      <w:r>
        <w:rPr>
          <w:rFonts w:ascii="Georgia" w:cs="Georgia" w:eastAsia="Georgia" w:hAnsi="Georgia"/>
          <w:b/>
          <w:bCs/>
          <w:color w:val="2F5233"/>
          <w:sz w:val="36"/>
          <w:szCs w:val="36"/>
        </w:rPr>
        <w:t xml:space="preserve">9.1  National Youth Harvest Market — Division I (Agriculture)</w:t>
      </w:r>
    </w:p>
    <w:p>
      <w:pPr>
        <w:spacing w:after="160" w:before="0" w:line="300"/>
      </w:pPr>
      <w:r>
        <w:rPr>
          <w:sz w:val="28"/>
          <w:szCs w:val="28"/>
        </w:rPr>
        <w:t xml:space="preserve">A student-operated public market where every participant who completed an Agriculture field presents and sells crops, goods, and products — managed end-to-end entirely by participants. No staff runs a participant’s booth; no instructor handles a participant’s money. Every Division I field competes here, from crop production and livestock to culinary arts, horticulture, and agribusiness, applying real business, marketing, and financial skills before a live community audience.</w:t>
      </w:r>
    </w:p>
    <w:p>
      <w:pPr>
        <w:spacing w:after="160" w:before="0" w:line="300"/>
      </w:pPr>
      <w:r>
        <w:rPr>
          <w:i/>
          <w:iCs/>
          <w:color w:val="555555"/>
          <w:sz w:val="28"/>
          <w:szCs w:val="28"/>
        </w:rPr>
        <w:t xml:space="preserve">Offered in a </w:t>
      </w:r>
      <w:r>
        <w:rPr>
          <w:b/>
          <w:bCs/>
          <w:color w:val="2F5233"/>
          <w:sz w:val="28"/>
          <w:szCs w:val="28"/>
        </w:rPr>
        <w:t xml:space="preserve">Youth Division (18 &amp; under)</w:t>
      </w:r>
      <w:r>
        <w:rPr>
          <w:i/>
          <w:iCs/>
          <w:color w:val="555555"/>
          <w:sz w:val="28"/>
          <w:szCs w:val="28"/>
        </w:rPr>
        <w:t xml:space="preserve"> and an </w:t>
      </w:r>
      <w:r>
        <w:rPr>
          <w:b/>
          <w:bCs/>
          <w:color w:val="2F5233"/>
          <w:sz w:val="28"/>
          <w:szCs w:val="28"/>
        </w:rPr>
        <w:t xml:space="preserve">Adult Division (18+)</w:t>
      </w:r>
      <w:r>
        <w:rPr>
          <w:i/>
          <w:iCs/>
          <w:color w:val="555555"/>
          <w:sz w:val="28"/>
          <w:szCs w:val="28"/>
        </w:rPr>
        <w:t xml:space="preserve">.</w:t>
      </w:r>
    </w:p>
    <w:p>
      <w:pPr>
        <w:pStyle w:val="Heading2"/>
        <w:spacing w:after="110" w:before="240"/>
      </w:pPr>
      <w:r>
        <w:rPr>
          <w:rFonts w:ascii="Georgia" w:cs="Georgia" w:eastAsia="Georgia" w:hAnsi="Georgia"/>
          <w:b/>
          <w:bCs/>
          <w:color w:val="2F5233"/>
          <w:sz w:val="36"/>
          <w:szCs w:val="36"/>
        </w:rPr>
        <w:t xml:space="preserve">9.2  National Artist of the World Showcase — Division II (Arts)</w:t>
      </w:r>
    </w:p>
    <w:p>
      <w:pPr>
        <w:spacing w:after="160" w:before="0" w:line="300"/>
      </w:pPr>
      <w:r>
        <w:rPr>
          <w:sz w:val="28"/>
          <w:szCs w:val="28"/>
        </w:rPr>
        <w:t xml:space="preserve">A professional-standard live production built entirely by participants — sound, lights, performance, stage management, and recording all operated by trained participants. Every Division II field competes and presents: vocalists and instrumentalists, dancers and choreographers, actors, spoken-word artists, filmmakers and media producers, designers, photographers, and visual artists. Eligibility to perform requires a 70%+ score on the 7-Pillar Assessment. This is the defining creative output of the NFLA year.</w:t>
      </w:r>
    </w:p>
    <w:p>
      <w:pPr>
        <w:spacing w:after="160" w:before="0" w:line="300"/>
      </w:pPr>
      <w:r>
        <w:rPr>
          <w:i/>
          <w:iCs/>
          <w:color w:val="555555"/>
          <w:sz w:val="28"/>
          <w:szCs w:val="28"/>
        </w:rPr>
        <w:t xml:space="preserve">Offered in a </w:t>
      </w:r>
      <w:r>
        <w:rPr>
          <w:b/>
          <w:bCs/>
          <w:color w:val="2F5233"/>
          <w:sz w:val="28"/>
          <w:szCs w:val="28"/>
        </w:rPr>
        <w:t xml:space="preserve">Youth Division (18 &amp; under)</w:t>
      </w:r>
      <w:r>
        <w:rPr>
          <w:i/>
          <w:iCs/>
          <w:color w:val="555555"/>
          <w:sz w:val="28"/>
          <w:szCs w:val="28"/>
        </w:rPr>
        <w:t xml:space="preserve"> and an </w:t>
      </w:r>
      <w:r>
        <w:rPr>
          <w:b/>
          <w:bCs/>
          <w:color w:val="2F5233"/>
          <w:sz w:val="28"/>
          <w:szCs w:val="28"/>
        </w:rPr>
        <w:t xml:space="preserve">Adult Division (18+)</w:t>
      </w:r>
      <w:r>
        <w:rPr>
          <w:i/>
          <w:iCs/>
          <w:color w:val="555555"/>
          <w:sz w:val="28"/>
          <w:szCs w:val="28"/>
        </w:rPr>
        <w:t xml:space="preserve">.</w:t>
      </w:r>
    </w:p>
    <w:p>
      <w:pPr>
        <w:pStyle w:val="Heading2"/>
        <w:spacing w:after="110" w:before="240"/>
      </w:pPr>
      <w:r>
        <w:rPr>
          <w:rFonts w:ascii="Georgia" w:cs="Georgia" w:eastAsia="Georgia" w:hAnsi="Georgia"/>
          <w:b/>
          <w:bCs/>
          <w:color w:val="2F5233"/>
          <w:sz w:val="36"/>
          <w:szCs w:val="36"/>
        </w:rPr>
        <w:t xml:space="preserve">9.3  National E-STEM Competition — Division III (Entrepreneurship, Technology &amp; Sciences)</w:t>
      </w:r>
    </w:p>
    <w:p>
      <w:pPr>
        <w:spacing w:after="160" w:before="0" w:line="300"/>
      </w:pPr>
      <w:r>
        <w:rPr>
          <w:sz w:val="28"/>
          <w:szCs w:val="28"/>
        </w:rPr>
        <w:t xml:space="preserve">A competition in entrepreneurship, science, technology, engineering, and math. Every Division III field competes — business and venture pitches, financial models, web and app projects, cybersecurity and data challenges, and applied science and research drawn from agriscience and wellness studies. Participants present judged work and ventures, with results feeding scholarship, internship, and leadership decisions.</w:t>
      </w:r>
    </w:p>
    <w:p>
      <w:pPr>
        <w:spacing w:after="160" w:before="0" w:line="300"/>
      </w:pPr>
      <w:r>
        <w:rPr>
          <w:i/>
          <w:iCs/>
          <w:color w:val="555555"/>
          <w:sz w:val="28"/>
          <w:szCs w:val="28"/>
        </w:rPr>
        <w:t xml:space="preserve">Offered in a </w:t>
      </w:r>
      <w:r>
        <w:rPr>
          <w:b/>
          <w:bCs/>
          <w:color w:val="2F5233"/>
          <w:sz w:val="28"/>
          <w:szCs w:val="28"/>
        </w:rPr>
        <w:t xml:space="preserve">Youth Division (18 &amp; under)</w:t>
      </w:r>
      <w:r>
        <w:rPr>
          <w:i/>
          <w:iCs/>
          <w:color w:val="555555"/>
          <w:sz w:val="28"/>
          <w:szCs w:val="28"/>
        </w:rPr>
        <w:t xml:space="preserve"> and an </w:t>
      </w:r>
      <w:r>
        <w:rPr>
          <w:b/>
          <w:bCs/>
          <w:color w:val="2F5233"/>
          <w:sz w:val="28"/>
          <w:szCs w:val="28"/>
        </w:rPr>
        <w:t xml:space="preserve">Adult Division (18+)</w:t>
      </w:r>
      <w:r>
        <w:rPr>
          <w:i/>
          <w:iCs/>
          <w:color w:val="555555"/>
          <w:sz w:val="28"/>
          <w:szCs w:val="28"/>
        </w:rPr>
        <w:t xml:space="preserve">.</w:t>
      </w:r>
    </w:p>
    <w:p>
      <w:pPr>
        <w:pStyle w:val="Heading2"/>
        <w:spacing w:after="110" w:before="240"/>
      </w:pPr>
      <w:r>
        <w:rPr>
          <w:rFonts w:ascii="Georgia" w:cs="Georgia" w:eastAsia="Georgia" w:hAnsi="Georgia"/>
          <w:b/>
          <w:bCs/>
          <w:color w:val="2F5233"/>
          <w:sz w:val="36"/>
          <w:szCs w:val="36"/>
        </w:rPr>
        <w:t xml:space="preserve">9.4  The NA³ Universal Competition</w:t>
      </w:r>
    </w:p>
    <w:p>
      <w:pPr>
        <w:spacing w:after="160" w:before="0" w:line="300"/>
      </w:pPr>
      <w:r>
        <w:rPr>
          <w:b/>
          <w:bCs/>
          <w:sz w:val="28"/>
          <w:szCs w:val="28"/>
        </w:rPr>
        <w:t xml:space="preserve">The National Arts, Agriculture &amp; Advancement Foundation Universal Competition </w:t>
      </w:r>
      <w:r>
        <w:rPr>
          <w:sz w:val="28"/>
          <w:szCs w:val="28"/>
        </w:rPr>
        <w:t xml:space="preserve">(the NA³ Universal Competition) is the grand event that brings everyone together — every participant, every division, and every field, competing on one stage. It is intentionally age-blind: youth and adults compete side by side, because no age defines your talent. A young grower, a teenage producer, an adult entrepreneur, and a senior artist can each rise here on the strength of their gift alone.</w:t>
      </w:r>
    </w:p>
    <w:p>
      <w:pPr>
        <w:spacing w:after="160" w:before="0" w:line="300"/>
      </w:pPr>
      <w:r>
        <w:rPr>
          <w:sz w:val="28"/>
          <w:szCs w:val="28"/>
        </w:rPr>
        <w:t xml:space="preserve">All fields are combined — agriculture, arts and media, entrepreneurship and technology, sciences, and workforce achievement are judged together across categories — so the complete artist-farmer-entrepreneur the dual-core model builds can truly shine. The Universal Competition is the program’s championship moment and its clearest statement of who we 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3E9CE" w:color="auto" w:val="clear"/>
            <w:tcMar>
              <w:top w:type="dxa" w:w="140"/>
              <w:left w:type="dxa" w:w="200"/>
              <w:bottom w:type="dxa" w:w="140"/>
              <w:right w:type="dxa" w:w="160"/>
            </w:tcMar>
          </w:tcPr>
          <w:p>
            <w:pPr>
              <w:spacing w:after="80"/>
            </w:pPr>
            <w:r>
              <w:rPr>
                <w:b/>
                <w:bCs/>
                <w:color w:val="0B2545"/>
                <w:sz w:val="30"/>
                <w:szCs w:val="30"/>
              </w:rPr>
              <w:t xml:space="preserve">“No age will define your talent.”</w:t>
            </w:r>
          </w:p>
          <w:p>
            <w:pPr>
              <w:pStyle w:val="ListParagraph"/>
              <w:numPr>
                <w:ilvl w:val="0"/>
                <w:numId w:val="2"/>
              </w:numPr>
              <w:spacing w:after="120" w:line="300"/>
            </w:pPr>
            <w:r>
              <w:rPr>
                <w:sz w:val="28"/>
                <w:szCs w:val="28"/>
              </w:rPr>
              <w:t xml:space="preserve">Open to all ages and all fields, competing together.</w:t>
            </w:r>
          </w:p>
          <w:p>
            <w:pPr>
              <w:pStyle w:val="ListParagraph"/>
              <w:numPr>
                <w:ilvl w:val="0"/>
                <w:numId w:val="2"/>
              </w:numPr>
              <w:spacing w:after="120" w:line="300"/>
            </w:pPr>
            <w:r>
              <w:rPr>
                <w:sz w:val="28"/>
                <w:szCs w:val="28"/>
              </w:rPr>
              <w:t xml:space="preserve">Youth and Adult honors are recognized so every age is celebrated — and one overall, all-ages champion is named.</w:t>
            </w:r>
          </w:p>
          <w:p>
            <w:pPr>
              <w:pStyle w:val="ListParagraph"/>
              <w:numPr>
                <w:ilvl w:val="0"/>
                <w:numId w:val="2"/>
              </w:numPr>
              <w:spacing w:after="0" w:line="300"/>
            </w:pPr>
            <w:r>
              <w:rPr>
                <w:sz w:val="28"/>
                <w:szCs w:val="28"/>
              </w:rPr>
              <w:t xml:space="preserve">Winners earn top scholarship, placement, and leadership recognition across the entire NA³ ecosystem.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How competition results matter</w:t>
            </w:r>
          </w:p>
          <w:p>
            <w:pPr>
              <w:pStyle w:val="ListParagraph"/>
              <w:numPr>
                <w:ilvl w:val="0"/>
                <w:numId w:val="2"/>
              </w:numPr>
              <w:spacing w:after="120" w:line="300"/>
            </w:pPr>
            <w:r>
              <w:rPr>
                <w:sz w:val="28"/>
                <w:szCs w:val="28"/>
              </w:rPr>
              <w:t xml:space="preserve">Higher scholarship eligibility and award priority.</w:t>
            </w:r>
          </w:p>
          <w:p>
            <w:pPr>
              <w:pStyle w:val="ListParagraph"/>
              <w:numPr>
                <w:ilvl w:val="0"/>
                <w:numId w:val="2"/>
              </w:numPr>
              <w:spacing w:after="120" w:line="300"/>
            </w:pPr>
            <w:r>
              <w:rPr>
                <w:sz w:val="28"/>
                <w:szCs w:val="28"/>
              </w:rPr>
              <w:t xml:space="preserve">Priority for internships and partner-employment placement.</w:t>
            </w:r>
          </w:p>
          <w:p>
            <w:pPr>
              <w:pStyle w:val="ListParagraph"/>
              <w:numPr>
                <w:ilvl w:val="0"/>
                <w:numId w:val="2"/>
              </w:numPr>
              <w:spacing w:after="120" w:line="300"/>
            </w:pPr>
            <w:r>
              <w:rPr>
                <w:sz w:val="28"/>
                <w:szCs w:val="28"/>
              </w:rPr>
              <w:t xml:space="preserve">Advancement into leadership roles and the national organizations.</w:t>
            </w:r>
          </w:p>
          <w:p>
            <w:pPr>
              <w:pStyle w:val="ListParagraph"/>
              <w:numPr>
                <w:ilvl w:val="0"/>
                <w:numId w:val="2"/>
              </w:numPr>
              <w:spacing w:after="0" w:line="300"/>
            </w:pPr>
            <w:r>
              <w:rPr>
                <w:sz w:val="28"/>
                <w:szCs w:val="28"/>
              </w:rPr>
              <w:t xml:space="preserve">Recognition at charter ceremonies, showcases, and graduation.</w:t>
            </w:r>
          </w:p>
        </w:tc>
      </w:tr>
    </w:tbl>
    <w:p>
      <w:pPr>
        <w:pageBreakBefore/>
        <w:spacing w:after="0" w:before="2600"/>
        <w:jc w:val="center"/>
      </w:pPr>
      <w:r>
        <w:rPr>
          <w:rFonts w:ascii="Georgia" w:cs="Georgia" w:eastAsia="Georgia" w:hAnsi="Georgia"/>
          <w:b/>
          <w:bCs/>
          <w:caps/>
          <w:color w:val="B8860B"/>
          <w:sz w:val="40"/>
          <w:szCs w:val="40"/>
        </w:rPr>
        <w:t xml:space="preserve">PART V</w:t>
      </w:r>
    </w:p>
    <w:p>
      <w:pPr>
        <w:pBdr>
          <w:top w:val="single" w:color="0B2545" w:sz="12" w:space="14"/>
          <w:bottom w:val="single" w:color="0B2545" w:sz="12" w:space="14"/>
        </w:pBdr>
        <w:spacing w:after="200" w:before="120"/>
        <w:jc w:val="center"/>
      </w:pPr>
      <w:r>
        <w:rPr>
          <w:rFonts w:ascii="Georgia" w:cs="Georgia" w:eastAsia="Georgia" w:hAnsi="Georgia"/>
          <w:b/>
          <w:bCs/>
          <w:color w:val="0B2545"/>
          <w:sz w:val="56"/>
          <w:szCs w:val="56"/>
        </w:rPr>
        <w:t xml:space="preserve">Enrollment, Tuition &amp; Finances</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10 — Enrollment &amp; Admissions</w:t>
      </w:r>
    </w:p>
    <w:p>
      <w:pPr>
        <w:spacing w:after="160" w:before="0" w:line="300"/>
      </w:pPr>
      <w:r>
        <w:rPr>
          <w:sz w:val="28"/>
          <w:szCs w:val="28"/>
        </w:rPr>
        <w:t xml:space="preserve">NFLA serves participants from age 5 through adult with no upper age limit, on year-round open enrollment. We do not close between school years, and no one is rejected for prior history or inability to pay.</w:t>
      </w:r>
    </w:p>
    <w:p>
      <w:pPr>
        <w:pStyle w:val="Heading2"/>
        <w:spacing w:after="110" w:before="240"/>
      </w:pPr>
      <w:r>
        <w:rPr>
          <w:rFonts w:ascii="Georgia" w:cs="Georgia" w:eastAsia="Georgia" w:hAnsi="Georgia"/>
          <w:b/>
          <w:bCs/>
          <w:color w:val="2F5233"/>
          <w:sz w:val="36"/>
          <w:szCs w:val="36"/>
        </w:rPr>
        <w:t xml:space="preserve">10.1  Participant Tracks by 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760"/>
        <w:gridCol w:w="2600"/>
      </w:tblGrid>
      <w:tr>
        <w:trPr>
          <w:tblHeader/>
        </w:trPr>
        <w:tc>
          <w:tcPr>
            <w:tcW w:type="dxa" w:w="67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Track</w:t>
            </w:r>
          </w:p>
        </w:tc>
        <w:tc>
          <w:tcPr>
            <w:tcW w:type="dxa" w:w="26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Ages</w:t>
            </w:r>
          </w:p>
        </w:tc>
      </w:tr>
      <w:tr>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Youth Foundational (rotational, all-division exposure)</w:t>
            </w:r>
          </w:p>
        </w:tc>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5–9</w:t>
            </w:r>
          </w:p>
        </w:tc>
      </w:tr>
      <w:tr>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Youth Development (foundational curriculum)</w:t>
            </w:r>
          </w:p>
        </w:tc>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5–12</w:t>
            </w:r>
          </w:p>
        </w:tc>
      </w:tr>
      <w:tr>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Standard Youth Pipeline (four-phase progression)</w:t>
            </w:r>
          </w:p>
        </w:tc>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13–24</w:t>
            </w:r>
          </w:p>
        </w:tc>
      </w:tr>
      <w:tr>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Adult Workforce Track</w:t>
            </w:r>
          </w:p>
        </w:tc>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25–64</w:t>
            </w:r>
          </w:p>
        </w:tc>
      </w:tr>
      <w:tr>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Division IV Adult Employment Track</w:t>
            </w:r>
          </w:p>
        </w:tc>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18+</w:t>
            </w:r>
          </w:p>
        </w:tc>
      </w:tr>
      <w:tr>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Senior Track (flexible scheduling)</w:t>
            </w:r>
          </w:p>
        </w:tc>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65+</w:t>
            </w:r>
          </w:p>
        </w:tc>
      </w:tr>
    </w:tbl>
    <w:p>
      <w:pPr>
        <w:pStyle w:val="Heading2"/>
        <w:spacing w:after="110" w:before="240"/>
      </w:pPr>
      <w:r>
        <w:rPr>
          <w:rFonts w:ascii="Georgia" w:cs="Georgia" w:eastAsia="Georgia" w:hAnsi="Georgia"/>
          <w:b/>
          <w:bCs/>
          <w:color w:val="2F5233"/>
          <w:sz w:val="36"/>
          <w:szCs w:val="36"/>
        </w:rPr>
        <w:t xml:space="preserve">10.2  How to Enroll</w:t>
      </w:r>
    </w:p>
    <w:p>
      <w:pPr>
        <w:pStyle w:val="ListParagraph"/>
        <w:numPr>
          <w:ilvl w:val="0"/>
          <w:numId w:val="3"/>
        </w:numPr>
        <w:spacing w:after="120" w:line="300"/>
      </w:pPr>
      <w:r>
        <w:rPr>
          <w:sz w:val="28"/>
          <w:szCs w:val="28"/>
        </w:rPr>
        <w:t xml:space="preserve">Complete the Enrollment Application &amp; Registration Packet (including the confidential health history).</w:t>
      </w:r>
    </w:p>
    <w:p>
      <w:pPr>
        <w:pStyle w:val="ListParagraph"/>
        <w:numPr>
          <w:ilvl w:val="0"/>
          <w:numId w:val="4"/>
        </w:numPr>
        <w:spacing w:after="120" w:line="300"/>
      </w:pPr>
      <w:r>
        <w:rPr>
          <w:sz w:val="28"/>
          <w:szCs w:val="28"/>
        </w:rPr>
        <w:t xml:space="preserve">Submit it with required attachments and the $25 registration fee.</w:t>
      </w:r>
    </w:p>
    <w:p>
      <w:pPr>
        <w:pStyle w:val="ListParagraph"/>
        <w:numPr>
          <w:ilvl w:val="0"/>
          <w:numId w:val="5"/>
        </w:numPr>
        <w:spacing w:after="120" w:line="300"/>
      </w:pPr>
      <w:r>
        <w:rPr>
          <w:sz w:val="28"/>
          <w:szCs w:val="28"/>
        </w:rPr>
        <w:t xml:space="preserve">Meet with staff to confirm track, tuition plan, and dual-core field interests.</w:t>
      </w:r>
    </w:p>
    <w:p>
      <w:pPr>
        <w:pStyle w:val="ListParagraph"/>
        <w:numPr>
          <w:ilvl w:val="0"/>
          <w:numId w:val="6"/>
        </w:numPr>
        <w:spacing w:after="120" w:line="300"/>
      </w:pPr>
      <w:r>
        <w:rPr>
          <w:sz w:val="28"/>
          <w:szCs w:val="28"/>
        </w:rPr>
        <w:t xml:space="preserve">Read this handbook and sign the Acknowledgment (Part X).</w:t>
      </w:r>
    </w:p>
    <w:p>
      <w:pPr>
        <w:pStyle w:val="ListParagraph"/>
        <w:numPr>
          <w:ilvl w:val="0"/>
          <w:numId w:val="7"/>
        </w:numPr>
        <w:spacing w:after="120" w:line="300"/>
      </w:pPr>
      <w:r>
        <w:rPr>
          <w:sz w:val="28"/>
          <w:szCs w:val="28"/>
        </w:rPr>
        <w:t xml:space="preserve">Attend orientation; complete the 40-Day Assessment (or adult intake) to finalize the IDP.</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11 — Tuition &amp; Fees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2026 Tuition</w:t>
            </w:r>
          </w:p>
          <w:p>
            <w:pPr>
              <w:spacing w:after="80" w:before="0" w:line="300"/>
            </w:pPr>
            <w:r>
              <w:rPr>
                <w:b/>
                <w:bCs/>
                <w:sz w:val="28"/>
                <w:szCs w:val="28"/>
              </w:rPr>
              <w:t xml:space="preserve">One-time registration fee: </w:t>
            </w:r>
            <w:r>
              <w:rPr>
                <w:b/>
                <w:bCs/>
                <w:color w:val="2F5233"/>
                <w:sz w:val="30"/>
                <w:szCs w:val="30"/>
              </w:rPr>
              <w:t xml:space="preserve">$25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Plan</w:t>
                  </w:r>
                </w:p>
              </w:tc>
              <w:tc>
                <w:tcPr>
                  <w:tcW w:type="dxa" w:w="468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Rate</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8"/>
                      <w:szCs w:val="28"/>
                    </w:rPr>
                    <w:t xml:space="preserve">Tier 1</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8"/>
                      <w:szCs w:val="28"/>
                    </w:rPr>
                    <w:t xml:space="preserve">$55 per week</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8"/>
                      <w:szCs w:val="28"/>
                    </w:rPr>
                    <w:t xml:space="preserve">Tier 2</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8"/>
                      <w:szCs w:val="28"/>
                    </w:rPr>
                    <w:t xml:space="preserve">$125 per week</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8"/>
                      <w:szCs w:val="28"/>
                    </w:rPr>
                    <w:t xml:space="preserve">Monthly Plan</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8"/>
                      <w:szCs w:val="28"/>
                    </w:rPr>
                    <w:t xml:space="preserve">$333.33 per month</w:t>
                  </w:r>
                </w:p>
              </w:tc>
            </w:tr>
          </w:tbl>
          <w:p/>
        </w:tc>
      </w:tr>
    </w:tbl>
    <w:p>
      <w:pPr>
        <w:spacing w:after="160" w:before="0" w:line="300"/>
      </w:pPr>
      <w:r>
        <w:rPr>
          <w:sz w:val="28"/>
          <w:szCs w:val="28"/>
        </w:rPr>
        <w:t xml:space="preserve">Higher tiers unlock additional fields and advanced opportunities. Tuition is due on the agreed schedule. Tuition covers time delivered.</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12 — Scholarships, Stipends &amp; Payment Plans</w:t>
      </w:r>
    </w:p>
    <w:p>
      <w:pPr>
        <w:pStyle w:val="ListParagraph"/>
        <w:numPr>
          <w:ilvl w:val="0"/>
          <w:numId w:val="2"/>
        </w:numPr>
        <w:spacing w:after="120" w:line="300"/>
      </w:pPr>
      <w:r>
        <w:rPr>
          <w:b/>
          <w:bCs/>
          <w:sz w:val="28"/>
          <w:szCs w:val="28"/>
        </w:rPr>
        <w:t xml:space="preserve">Scholarships </w:t>
      </w:r>
      <w:r>
        <w:rPr>
          <w:sz w:val="28"/>
          <w:szCs w:val="28"/>
        </w:rPr>
        <w:t xml:space="preserve">are available for qualifying households below 200% of the federal poverty line, subject to need and available funding.</w:t>
      </w:r>
    </w:p>
    <w:p>
      <w:pPr>
        <w:pStyle w:val="ListParagraph"/>
        <w:numPr>
          <w:ilvl w:val="0"/>
          <w:numId w:val="2"/>
        </w:numPr>
        <w:spacing w:after="120" w:line="300"/>
      </w:pPr>
      <w:r>
        <w:rPr>
          <w:b/>
          <w:bCs/>
          <w:sz w:val="28"/>
          <w:szCs w:val="28"/>
        </w:rPr>
        <w:t xml:space="preserve">Payment plans </w:t>
      </w:r>
      <w:r>
        <w:rPr>
          <w:sz w:val="28"/>
          <w:szCs w:val="28"/>
        </w:rPr>
        <w:t xml:space="preserve">are available for every family. Please talk with us early rather than withdraw for cost.</w:t>
      </w:r>
    </w:p>
    <w:p>
      <w:pPr>
        <w:pStyle w:val="ListParagraph"/>
        <w:numPr>
          <w:ilvl w:val="0"/>
          <w:numId w:val="2"/>
        </w:numPr>
        <w:spacing w:after="120" w:line="300"/>
      </w:pPr>
      <w:r>
        <w:rPr>
          <w:b/>
          <w:bCs/>
          <w:sz w:val="28"/>
          <w:szCs w:val="28"/>
        </w:rPr>
        <w:t xml:space="preserve">Stipends </w:t>
      </w:r>
      <w:r>
        <w:rPr>
          <w:sz w:val="28"/>
          <w:szCs w:val="28"/>
        </w:rPr>
        <w:t xml:space="preserve">may be available to eligible adult participants in qualifying tracks, administered per program policy; unexcused absence from required blocks may trigger stipend forfeiture (see Part VII).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3E9CE" w:color="auto" w:val="clear"/>
            <w:tcMar>
              <w:top w:type="dxa" w:w="140"/>
              <w:left w:type="dxa" w:w="200"/>
              <w:bottom w:type="dxa" w:w="140"/>
              <w:right w:type="dxa" w:w="160"/>
            </w:tcMar>
          </w:tcPr>
          <w:p>
            <w:pPr>
              <w:spacing w:after="80"/>
            </w:pPr>
            <w:r>
              <w:rPr>
                <w:b/>
                <w:bCs/>
                <w:color w:val="0B2545"/>
                <w:sz w:val="30"/>
                <w:szCs w:val="30"/>
              </w:rPr>
              <w:t xml:space="preserve">Our commitment</w:t>
            </w:r>
          </w:p>
          <w:p>
            <w:pPr>
              <w:spacing w:after="0" w:before="0" w:line="300"/>
            </w:pPr>
            <w:r>
              <w:rPr>
                <w:i/>
                <w:iCs/>
                <w:sz w:val="28"/>
                <w:szCs w:val="28"/>
              </w:rPr>
              <w:t xml:space="preserve">No student is excluded for inability to pay. “If no one else will invest in you — we will.”</w:t>
            </w:r>
          </w:p>
        </w:tc>
      </w:tr>
    </w:tbl>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13 — Withdrawal &amp; Refunds</w:t>
      </w:r>
    </w:p>
    <w:p>
      <w:pPr>
        <w:spacing w:after="160" w:before="0" w:line="300"/>
      </w:pPr>
      <w:r>
        <w:rPr>
          <w:sz w:val="28"/>
          <w:szCs w:val="28"/>
        </w:rPr>
        <w:t xml:space="preserve">Families may withdraw at any time with written notice. The registration fee is non-refundable. Tuition for time already delivered is not refunded; prepaid tuition for time not yet delivered is handled fairly per the tuition agreement. Withdrawal does not erase any balance owed for time already attended. We encourage families to speak with us before withdrawing — scholarships and payment plans exist precisely so cost is never the reason a student leaves.</w:t>
      </w:r>
    </w:p>
    <w:p>
      <w:pPr>
        <w:pageBreakBefore/>
        <w:spacing w:after="0" w:before="2600"/>
        <w:jc w:val="center"/>
      </w:pPr>
      <w:r>
        <w:rPr>
          <w:rFonts w:ascii="Georgia" w:cs="Georgia" w:eastAsia="Georgia" w:hAnsi="Georgia"/>
          <w:b/>
          <w:bCs/>
          <w:caps/>
          <w:color w:val="B8860B"/>
          <w:sz w:val="40"/>
          <w:szCs w:val="40"/>
        </w:rPr>
        <w:t xml:space="preserve">PART VI</w:t>
      </w:r>
    </w:p>
    <w:p>
      <w:pPr>
        <w:pBdr>
          <w:top w:val="single" w:color="0B2545" w:sz="12" w:space="14"/>
          <w:bottom w:val="single" w:color="0B2545" w:sz="12" w:space="14"/>
        </w:pBdr>
        <w:spacing w:after="200" w:before="120"/>
        <w:jc w:val="center"/>
      </w:pPr>
      <w:r>
        <w:rPr>
          <w:rFonts w:ascii="Georgia" w:cs="Georgia" w:eastAsia="Georgia" w:hAnsi="Georgia"/>
          <w:b/>
          <w:bCs/>
          <w:color w:val="0B2545"/>
          <w:sz w:val="56"/>
          <w:szCs w:val="56"/>
        </w:rPr>
        <w:t xml:space="preserve">Schedule &amp; Daily Operations</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14 — Schedule Tracks</w:t>
      </w:r>
    </w:p>
    <w:p>
      <w:pPr>
        <w:spacing w:after="160" w:before="0" w:line="300"/>
      </w:pPr>
      <w:r>
        <w:rPr>
          <w:sz w:val="28"/>
          <w:szCs w:val="28"/>
        </w:rPr>
        <w:t xml:space="preserve">All program tracks operate on consistent, professional scheduling, Monday through Saturday. The program runs year-round on open enrollment.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Track</w:t>
            </w:r>
          </w:p>
        </w:tc>
        <w:tc>
          <w:tcPr>
            <w:tcW w:type="dxa" w:w="468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When</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Summer Camp Track</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June–July, Mon–Sat · Early drop-off 6:00 AM · Camp 7:00 AM–3:30 PM</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Summer Extended Day (Ages 16+)</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3:30–7:30 PM with parental agreement</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After-School Program (Academic Year)</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August–May, Mon–Sat · 3:30–7:30 PM EST</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18+ Adult Evening Track</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Year-round, Mon–Sat (evening hours)</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Youth Foundational Track (Ages 5–9)</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Rotational curriculum within standard hours</w:t>
            </w:r>
          </w:p>
        </w:tc>
      </w:tr>
    </w:tbl>
    <w:p>
      <w:pPr>
        <w:pStyle w:val="Heading2"/>
        <w:spacing w:after="110" w:before="240"/>
      </w:pPr>
      <w:r>
        <w:rPr>
          <w:rFonts w:ascii="Georgia" w:cs="Georgia" w:eastAsia="Georgia" w:hAnsi="Georgia"/>
          <w:b/>
          <w:bCs/>
          <w:color w:val="2F5233"/>
          <w:sz w:val="36"/>
          <w:szCs w:val="36"/>
        </w:rPr>
        <w:t xml:space="preserve">14.1  Summer Camp — Sample Daily Schedule (7:00 AM – 3:30 PM)</w:t>
      </w:r>
    </w:p>
    <w:p>
      <w:pPr>
        <w:spacing w:after="160" w:before="0" w:line="300"/>
      </w:pPr>
      <w:r>
        <w:rPr>
          <w:sz w:val="28"/>
          <w:szCs w:val="28"/>
        </w:rPr>
        <w:t xml:space="preserve">Supervised early drop-off begins at 6:00 AM. The core camp day runs 7:00 AM to 3:30 PM, Monday through Saturday.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Time</w:t>
            </w:r>
          </w:p>
        </w:tc>
        <w:tc>
          <w:tcPr>
            <w:tcW w:type="dxa" w:w="67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Block</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6:00–7:00 AM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Early drop-off (supervised) — optional</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7:00–8:00 AM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Physical conditioning &amp; team formation</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8:00–9:45 AM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Primary division instruction — academic &amp; technical</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9:45–11:30 AM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Agricultural production block (micro-farm &amp; livestock)</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11:30 AM–12:15 PM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Farm-to-Table lunch (students grow, prepare &amp; serve)</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12:15–1:45 PM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Arts training &amp; creative production</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1:45–2:45 PM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Entrepreneurship &amp; market preparation</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2:45–3:15 PM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Technology &amp; leadership review (7-Pillar scoring)</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3:15–3:30 PM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Debrief, clean-up &amp; dismissal (standard pickup 3:30 PM)</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6"/>
                <w:szCs w:val="26"/>
              </w:rPr>
              <w:t xml:space="preserve">3:30–7:30 PM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Extended Day — ages 16+ only, with parental agreement (rehearsal, market prep, advanced production, certification, leadership)</w:t>
            </w:r>
          </w:p>
        </w:tc>
      </w:tr>
    </w:tbl>
    <w:p>
      <w:pPr>
        <w:pStyle w:val="Heading2"/>
        <w:spacing w:after="110" w:before="240"/>
      </w:pPr>
      <w:r>
        <w:rPr>
          <w:rFonts w:ascii="Georgia" w:cs="Georgia" w:eastAsia="Georgia" w:hAnsi="Georgia"/>
          <w:b/>
          <w:bCs/>
          <w:color w:val="2F5233"/>
          <w:sz w:val="36"/>
          <w:szCs w:val="36"/>
        </w:rPr>
        <w:t xml:space="preserve">14.2  After-School Program — Sample Daily Blocks (3:30 – 7:30 PM)</w:t>
      </w:r>
    </w:p>
    <w:p>
      <w:pPr>
        <w:spacing w:after="160" w:before="0" w:line="300"/>
      </w:pPr>
      <w:r>
        <w:rPr>
          <w:sz w:val="28"/>
          <w:szCs w:val="28"/>
        </w:rPr>
        <w:t xml:space="preserve">During the academic year (August–May), the after-school program runs 3:30 to 7:30 PM EST, Monday through Saturday.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Time</w:t>
            </w:r>
          </w:p>
        </w:tc>
        <w:tc>
          <w:tcPr>
            <w:tcW w:type="dxa" w:w="67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Block</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3:30–4:00 PM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Arrival, academic reinforcement &amp; homework support (GPA monitoring)</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4:00–5:30 PM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Primary division instruction</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5:30–6:45 PM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Applied production output</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6:45–7:15 PM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Leadership development &amp; professional accountability</w:t>
            </w:r>
          </w:p>
        </w:tc>
      </w:tr>
      <w:tr>
        <w:tc>
          <w:tcPr>
            <w:tcW w:type="dxa" w:w="26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7:15–7:30 PM</w:t>
            </w:r>
          </w:p>
        </w:tc>
        <w:tc>
          <w:tcPr>
            <w:tcW w:type="dxa" w:w="67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Team debrief, clean-up &amp; dismissal (pickup 7:30 PM)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Academic standing comes first</w:t>
            </w:r>
          </w:p>
          <w:p>
            <w:pPr>
              <w:spacing w:after="0" w:before="0" w:line="300"/>
            </w:pPr>
            <w:r>
              <w:rPr>
                <w:sz w:val="26"/>
                <w:szCs w:val="26"/>
              </w:rPr>
              <w:t xml:space="preserve">Students below a 2.0 school GPA receive a structured academic improvement plan before full division advancement. No student advances in the program while failing their school coursework. We track trends, not isolated incidents.</w:t>
            </w:r>
          </w:p>
        </w:tc>
      </w:tr>
    </w:tbl>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15 — Attendance, Arrival &amp; Dismissal</w:t>
      </w:r>
    </w:p>
    <w:p>
      <w:pPr>
        <w:pStyle w:val="ListParagraph"/>
        <w:numPr>
          <w:ilvl w:val="0"/>
          <w:numId w:val="2"/>
        </w:numPr>
        <w:spacing w:after="120" w:line="300"/>
      </w:pPr>
      <w:r>
        <w:rPr>
          <w:b/>
          <w:bCs/>
          <w:sz w:val="28"/>
          <w:szCs w:val="28"/>
        </w:rPr>
        <w:t xml:space="preserve">Attendance is recorded daily. </w:t>
      </w:r>
      <w:r>
        <w:rPr>
          <w:sz w:val="28"/>
          <w:szCs w:val="28"/>
        </w:rPr>
        <w:t xml:space="preserve">Punctuality is a professional standard, not a suggestion.</w:t>
      </w:r>
    </w:p>
    <w:p>
      <w:pPr>
        <w:pStyle w:val="ListParagraph"/>
        <w:numPr>
          <w:ilvl w:val="0"/>
          <w:numId w:val="2"/>
        </w:numPr>
        <w:spacing w:after="120" w:line="300"/>
      </w:pPr>
      <w:r>
        <w:rPr>
          <w:b/>
          <w:bCs/>
          <w:sz w:val="28"/>
          <w:szCs w:val="28"/>
        </w:rPr>
        <w:t xml:space="preserve">Summer: </w:t>
      </w:r>
      <w:r>
        <w:rPr>
          <w:sz w:val="28"/>
          <w:szCs w:val="28"/>
        </w:rPr>
        <w:t xml:space="preserve">supervised early drop-off begins at 6:00 AM; camp runs 7:00 AM–3:30 PM with standard pickup at 3:30 PM.</w:t>
      </w:r>
    </w:p>
    <w:p>
      <w:pPr>
        <w:pStyle w:val="ListParagraph"/>
        <w:numPr>
          <w:ilvl w:val="0"/>
          <w:numId w:val="2"/>
        </w:numPr>
        <w:spacing w:after="120" w:line="300"/>
      </w:pPr>
      <w:r>
        <w:rPr>
          <w:b/>
          <w:bCs/>
          <w:sz w:val="28"/>
          <w:szCs w:val="28"/>
        </w:rPr>
        <w:t xml:space="preserve">Summer Extended Day (ages 16+): </w:t>
      </w:r>
      <w:r>
        <w:rPr>
          <w:sz w:val="28"/>
          <w:szCs w:val="28"/>
        </w:rPr>
        <w:t xml:space="preserve">students 16 and older may stay 3:30–7:30 PM with signed parental agreement on file, advance notice for each date, and a confirmed transportation plan.</w:t>
      </w:r>
    </w:p>
    <w:p>
      <w:pPr>
        <w:pStyle w:val="ListParagraph"/>
        <w:numPr>
          <w:ilvl w:val="0"/>
          <w:numId w:val="2"/>
        </w:numPr>
        <w:spacing w:after="120" w:line="300"/>
      </w:pPr>
      <w:r>
        <w:rPr>
          <w:b/>
          <w:bCs/>
          <w:sz w:val="28"/>
          <w:szCs w:val="28"/>
        </w:rPr>
        <w:t xml:space="preserve">After-school (academic year): </w:t>
      </w:r>
      <w:r>
        <w:rPr>
          <w:sz w:val="28"/>
          <w:szCs w:val="28"/>
        </w:rPr>
        <w:t xml:space="preserve">the program runs 3:30–7:30 PM EST, with pickup at 7:30 PM.</w:t>
      </w:r>
    </w:p>
    <w:p>
      <w:pPr>
        <w:pStyle w:val="ListParagraph"/>
        <w:numPr>
          <w:ilvl w:val="0"/>
          <w:numId w:val="2"/>
        </w:numPr>
        <w:spacing w:after="120" w:line="300"/>
      </w:pPr>
      <w:r>
        <w:rPr>
          <w:sz w:val="28"/>
          <w:szCs w:val="28"/>
        </w:rPr>
        <w:t xml:space="preserve">Only authorized adults may pick up a student; </w:t>
      </w:r>
      <w:r>
        <w:rPr>
          <w:b/>
          <w:bCs/>
          <w:sz w:val="28"/>
          <w:szCs w:val="28"/>
        </w:rPr>
        <w:t xml:space="preserve">photo ID may be requested.</w:t>
      </w:r>
    </w:p>
    <w:p>
      <w:pPr>
        <w:spacing w:after="160" w:before="0" w:line="300"/>
      </w:pPr>
      <w:r>
        <w:rPr>
          <w:sz w:val="28"/>
          <w:szCs w:val="28"/>
        </w:rPr>
        <w:t xml:space="preserve">Report absences to the office in advance whenever possible. Repeated unexcused absence affects standing and, for eligible adults, may trigger stipend forfeiture.</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16 — Dress Code, Devices &amp; Personal Property</w:t>
      </w:r>
    </w:p>
    <w:p>
      <w:pPr>
        <w:pStyle w:val="ListParagraph"/>
        <w:numPr>
          <w:ilvl w:val="0"/>
          <w:numId w:val="2"/>
        </w:numPr>
        <w:spacing w:after="120" w:line="300"/>
      </w:pPr>
      <w:r>
        <w:rPr>
          <w:b/>
          <w:bCs/>
          <w:sz w:val="28"/>
          <w:szCs w:val="28"/>
        </w:rPr>
        <w:t xml:space="preserve">Dress: </w:t>
      </w:r>
      <w:r>
        <w:rPr>
          <w:sz w:val="28"/>
          <w:szCs w:val="28"/>
        </w:rPr>
        <w:t xml:space="preserve">Arrive in program-appropriate attire, ready to move, create, and work. Specific uniform or attire expectations are shared at orientation.</w:t>
      </w:r>
    </w:p>
    <w:p>
      <w:pPr>
        <w:pStyle w:val="ListParagraph"/>
        <w:numPr>
          <w:ilvl w:val="0"/>
          <w:numId w:val="2"/>
        </w:numPr>
        <w:spacing w:after="120" w:line="300"/>
      </w:pPr>
      <w:r>
        <w:rPr>
          <w:b/>
          <w:bCs/>
          <w:sz w:val="28"/>
          <w:szCs w:val="28"/>
        </w:rPr>
        <w:t xml:space="preserve">Devices: </w:t>
      </w:r>
      <w:r>
        <w:rPr>
          <w:sz w:val="28"/>
          <w:szCs w:val="28"/>
        </w:rPr>
        <w:t xml:space="preserve">Personal phone and device use during program hours is limited for focus and safety, per staff direction.</w:t>
      </w:r>
    </w:p>
    <w:p>
      <w:pPr>
        <w:pStyle w:val="ListParagraph"/>
        <w:numPr>
          <w:ilvl w:val="0"/>
          <w:numId w:val="2"/>
        </w:numPr>
        <w:spacing w:after="120" w:line="300"/>
      </w:pPr>
      <w:r>
        <w:rPr>
          <w:b/>
          <w:bCs/>
          <w:sz w:val="28"/>
          <w:szCs w:val="28"/>
        </w:rPr>
        <w:t xml:space="preserve">Personal property: </w:t>
      </w:r>
      <w:r>
        <w:rPr>
          <w:sz w:val="28"/>
          <w:szCs w:val="28"/>
        </w:rPr>
        <w:t xml:space="preserve">NFLA is not responsible for personal items that are lost or damaged. Label belongings; keep valuables at home.</w:t>
      </w:r>
    </w:p>
    <w:p>
      <w:pPr>
        <w:pageBreakBefore/>
        <w:spacing w:after="0" w:before="2600"/>
        <w:jc w:val="center"/>
      </w:pPr>
      <w:r>
        <w:rPr>
          <w:rFonts w:ascii="Georgia" w:cs="Georgia" w:eastAsia="Georgia" w:hAnsi="Georgia"/>
          <w:b/>
          <w:bCs/>
          <w:caps/>
          <w:color w:val="B8860B"/>
          <w:sz w:val="40"/>
          <w:szCs w:val="40"/>
        </w:rPr>
        <w:t xml:space="preserve">PART VII</w:t>
      </w:r>
    </w:p>
    <w:p>
      <w:pPr>
        <w:pBdr>
          <w:top w:val="single" w:color="0B2545" w:sz="12" w:space="14"/>
          <w:bottom w:val="single" w:color="0B2545" w:sz="12" w:space="14"/>
        </w:pBdr>
        <w:spacing w:after="200" w:before="120"/>
        <w:jc w:val="center"/>
      </w:pPr>
      <w:r>
        <w:rPr>
          <w:rFonts w:ascii="Georgia" w:cs="Georgia" w:eastAsia="Georgia" w:hAnsi="Georgia"/>
          <w:b/>
          <w:bCs/>
          <w:color w:val="0B2545"/>
          <w:sz w:val="56"/>
          <w:szCs w:val="56"/>
        </w:rPr>
        <w:t xml:space="preserve">Accountability: Conduct &amp; Community</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17 — The NFLA Accountability Framework</w:t>
      </w:r>
    </w:p>
    <w:p>
      <w:pPr>
        <w:spacing w:after="160" w:before="0" w:line="300"/>
      </w:pPr>
      <w:r>
        <w:rPr>
          <w:sz w:val="28"/>
          <w:szCs w:val="28"/>
        </w:rPr>
        <w:t xml:space="preserve">This is the heart of the handbook. NFLA works because everyone is accountable — students, adults, and parents. Accountability here is an act of respect: we are clear about expectations, consistent in applying them, and fair in our responses. Our goal is always growth. When someone falls short, our first aim is to teach, repair, and restore — while protecting the safety and learning of everyone else.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Three-way accountability</w:t>
            </w:r>
          </w:p>
          <w:p>
            <w:pPr>
              <w:pStyle w:val="ListParagraph"/>
              <w:numPr>
                <w:ilvl w:val="0"/>
                <w:numId w:val="2"/>
              </w:numPr>
              <w:spacing w:after="120" w:line="300"/>
            </w:pPr>
            <w:r>
              <w:rPr>
                <w:b/>
                <w:bCs/>
                <w:sz w:val="28"/>
                <w:szCs w:val="28"/>
              </w:rPr>
              <w:t xml:space="preserve">Students </w:t>
            </w:r>
            <w:r>
              <w:rPr>
                <w:sz w:val="28"/>
                <w:szCs w:val="28"/>
              </w:rPr>
              <w:t xml:space="preserve">are accountable for effort, respect, attendance, and conduct.</w:t>
            </w:r>
          </w:p>
          <w:p>
            <w:pPr>
              <w:pStyle w:val="ListParagraph"/>
              <w:numPr>
                <w:ilvl w:val="0"/>
                <w:numId w:val="2"/>
              </w:numPr>
              <w:spacing w:after="120" w:line="300"/>
            </w:pPr>
            <w:r>
              <w:rPr>
                <w:b/>
                <w:bCs/>
                <w:sz w:val="28"/>
                <w:szCs w:val="28"/>
              </w:rPr>
              <w:t xml:space="preserve">Adult participants </w:t>
            </w:r>
            <w:r>
              <w:rPr>
                <w:sz w:val="28"/>
                <w:szCs w:val="28"/>
              </w:rPr>
              <w:t xml:space="preserve">are accountable to workforce-level professional standards.</w:t>
            </w:r>
          </w:p>
          <w:p>
            <w:pPr>
              <w:pStyle w:val="ListParagraph"/>
              <w:numPr>
                <w:ilvl w:val="0"/>
                <w:numId w:val="2"/>
              </w:numPr>
              <w:spacing w:after="0" w:line="300"/>
            </w:pPr>
            <w:r>
              <w:rPr>
                <w:b/>
                <w:bCs/>
                <w:sz w:val="28"/>
                <w:szCs w:val="28"/>
              </w:rPr>
              <w:t xml:space="preserve">Parents and guardians </w:t>
            </w:r>
            <w:r>
              <w:rPr>
                <w:sz w:val="28"/>
                <w:szCs w:val="28"/>
              </w:rPr>
              <w:t xml:space="preserve">are accountable as full partners — for support, communication, and reinforcing these standards at home.</w:t>
            </w:r>
          </w:p>
        </w:tc>
      </w:tr>
    </w:tbl>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18 — The Code of Conduct (All Participants)</w:t>
      </w:r>
    </w:p>
    <w:p>
      <w:pPr>
        <w:spacing w:after="160" w:before="0" w:line="300"/>
      </w:pPr>
      <w:r>
        <w:rPr>
          <w:sz w:val="28"/>
          <w:szCs w:val="28"/>
        </w:rPr>
        <w:t xml:space="preserve">Every student (youth and adult) agrees to the following standards. The student (age 13+) and a parent/guardian sign the acknowledgment at the back.</w:t>
      </w:r>
    </w:p>
    <w:p>
      <w:pPr>
        <w:pStyle w:val="ListParagraph"/>
        <w:numPr>
          <w:ilvl w:val="0"/>
          <w:numId w:val="2"/>
        </w:numPr>
        <w:spacing w:after="120" w:line="300"/>
      </w:pPr>
      <w:r>
        <w:rPr>
          <w:b/>
          <w:bCs/>
          <w:sz w:val="28"/>
          <w:szCs w:val="28"/>
        </w:rPr>
        <w:t xml:space="preserve">Show up. </w:t>
      </w:r>
      <w:r>
        <w:rPr>
          <w:sz w:val="28"/>
          <w:szCs w:val="28"/>
        </w:rPr>
        <w:t xml:space="preserve">Arrive on time, prepared, and ready to participate fully.</w:t>
      </w:r>
    </w:p>
    <w:p>
      <w:pPr>
        <w:pStyle w:val="ListParagraph"/>
        <w:numPr>
          <w:ilvl w:val="0"/>
          <w:numId w:val="2"/>
        </w:numPr>
        <w:spacing w:after="120" w:line="300"/>
      </w:pPr>
      <w:r>
        <w:rPr>
          <w:b/>
          <w:bCs/>
          <w:sz w:val="28"/>
          <w:szCs w:val="28"/>
        </w:rPr>
        <w:t xml:space="preserve">Respect everyone. </w:t>
      </w:r>
      <w:r>
        <w:rPr>
          <w:sz w:val="28"/>
          <w:szCs w:val="28"/>
        </w:rPr>
        <w:t xml:space="preserve">Treat staff, fellow participants, families, guests, and the host facility with dignity. Physical aggression, bullying, or disrespect may lead to suspension or removal.</w:t>
      </w:r>
    </w:p>
    <w:p>
      <w:pPr>
        <w:pStyle w:val="ListParagraph"/>
        <w:numPr>
          <w:ilvl w:val="0"/>
          <w:numId w:val="2"/>
        </w:numPr>
        <w:spacing w:after="120" w:line="300"/>
      </w:pPr>
      <w:r>
        <w:rPr>
          <w:b/>
          <w:bCs/>
          <w:sz w:val="28"/>
          <w:szCs w:val="28"/>
        </w:rPr>
        <w:t xml:space="preserve">Stay substance-free. </w:t>
      </w:r>
      <w:r>
        <w:rPr>
          <w:sz w:val="28"/>
          <w:szCs w:val="28"/>
        </w:rPr>
        <w:t xml:space="preserve">Zero tolerance for drugs, alcohol, and tobacco on or near the premises during program hours.</w:t>
      </w:r>
    </w:p>
    <w:p>
      <w:pPr>
        <w:pStyle w:val="ListParagraph"/>
        <w:numPr>
          <w:ilvl w:val="0"/>
          <w:numId w:val="2"/>
        </w:numPr>
        <w:spacing w:after="120" w:line="300"/>
      </w:pPr>
      <w:r>
        <w:rPr>
          <w:b/>
          <w:bCs/>
          <w:sz w:val="28"/>
          <w:szCs w:val="28"/>
        </w:rPr>
        <w:t xml:space="preserve">Keep relationships appropriate. </w:t>
      </w:r>
      <w:r>
        <w:rPr>
          <w:sz w:val="28"/>
          <w:szCs w:val="28"/>
        </w:rPr>
        <w:t xml:space="preserve">Romantic or inappropriate fraternization between participants is subject to behavioral intervention.</w:t>
      </w:r>
    </w:p>
    <w:p>
      <w:pPr>
        <w:pStyle w:val="ListParagraph"/>
        <w:numPr>
          <w:ilvl w:val="0"/>
          <w:numId w:val="2"/>
        </w:numPr>
        <w:spacing w:after="120" w:line="300"/>
      </w:pPr>
      <w:r>
        <w:rPr>
          <w:b/>
          <w:bCs/>
          <w:sz w:val="28"/>
          <w:szCs w:val="28"/>
        </w:rPr>
        <w:t xml:space="preserve">Protect the community. </w:t>
      </w:r>
      <w:r>
        <w:rPr>
          <w:sz w:val="28"/>
          <w:szCs w:val="28"/>
        </w:rPr>
        <w:t xml:space="preserve">Follow device, confidentiality, and recording rules; do not record or post program activities without authorization.</w:t>
      </w:r>
    </w:p>
    <w:p>
      <w:pPr>
        <w:pStyle w:val="ListParagraph"/>
        <w:numPr>
          <w:ilvl w:val="0"/>
          <w:numId w:val="2"/>
        </w:numPr>
        <w:spacing w:after="120" w:line="300"/>
      </w:pPr>
      <w:r>
        <w:rPr>
          <w:b/>
          <w:bCs/>
          <w:sz w:val="28"/>
          <w:szCs w:val="28"/>
        </w:rPr>
        <w:t xml:space="preserve">Honor the work. </w:t>
      </w:r>
      <w:r>
        <w:rPr>
          <w:sz w:val="28"/>
          <w:szCs w:val="28"/>
        </w:rPr>
        <w:t xml:space="preserve">Give honest effort, take pride in your work, and represent NFLA well on and off site.</w:t>
      </w:r>
    </w:p>
    <w:p>
      <w:pPr>
        <w:pStyle w:val="ListParagraph"/>
        <w:numPr>
          <w:ilvl w:val="0"/>
          <w:numId w:val="2"/>
        </w:numPr>
        <w:spacing w:after="120" w:line="300"/>
      </w:pPr>
      <w:r>
        <w:rPr>
          <w:b/>
          <w:bCs/>
          <w:sz w:val="28"/>
          <w:szCs w:val="28"/>
        </w:rPr>
        <w:t xml:space="preserve">Meet the standard. </w:t>
      </w:r>
      <w:r>
        <w:rPr>
          <w:sz w:val="28"/>
          <w:szCs w:val="28"/>
        </w:rPr>
        <w:t xml:space="preserve">Understand that progress is measured by the 7-Pillar Assessment (50% baseline), a 77-question final exam, and that Showcase eligibility requires 70%+.</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19 — Student Responsibilities (Youth &amp; Adult)</w:t>
      </w:r>
    </w:p>
    <w:p>
      <w:pPr>
        <w:pStyle w:val="ListParagraph"/>
        <w:numPr>
          <w:ilvl w:val="0"/>
          <w:numId w:val="2"/>
        </w:numPr>
        <w:spacing w:after="120" w:line="300"/>
      </w:pPr>
      <w:r>
        <w:rPr>
          <w:sz w:val="28"/>
          <w:szCs w:val="28"/>
        </w:rPr>
        <w:t xml:space="preserve">Attend consistently, on time, and ready to learn and work.</w:t>
      </w:r>
    </w:p>
    <w:p>
      <w:pPr>
        <w:pStyle w:val="ListParagraph"/>
        <w:numPr>
          <w:ilvl w:val="0"/>
          <w:numId w:val="2"/>
        </w:numPr>
        <w:spacing w:after="120" w:line="300"/>
      </w:pPr>
      <w:r>
        <w:rPr>
          <w:sz w:val="28"/>
          <w:szCs w:val="28"/>
        </w:rPr>
        <w:t xml:space="preserve">Complete coursework, production tasks, and IDP benchmarks.</w:t>
      </w:r>
    </w:p>
    <w:p>
      <w:pPr>
        <w:pStyle w:val="ListParagraph"/>
        <w:numPr>
          <w:ilvl w:val="0"/>
          <w:numId w:val="2"/>
        </w:numPr>
        <w:spacing w:after="120" w:line="300"/>
      </w:pPr>
      <w:r>
        <w:rPr>
          <w:sz w:val="28"/>
          <w:szCs w:val="28"/>
        </w:rPr>
        <w:t xml:space="preserve">Keep school grades up — youth below a 2.0 GPA follow an academic improvement plan.</w:t>
      </w:r>
    </w:p>
    <w:p>
      <w:pPr>
        <w:pStyle w:val="ListParagraph"/>
        <w:numPr>
          <w:ilvl w:val="0"/>
          <w:numId w:val="2"/>
        </w:numPr>
        <w:spacing w:after="120" w:line="300"/>
      </w:pPr>
      <w:r>
        <w:rPr>
          <w:sz w:val="28"/>
          <w:szCs w:val="28"/>
        </w:rPr>
        <w:t xml:space="preserve">Care for shared spaces, tools, equipment, animals, and the host facility.</w:t>
      </w:r>
    </w:p>
    <w:p>
      <w:pPr>
        <w:pStyle w:val="ListParagraph"/>
        <w:numPr>
          <w:ilvl w:val="0"/>
          <w:numId w:val="2"/>
        </w:numPr>
        <w:spacing w:after="120" w:line="300"/>
      </w:pPr>
      <w:r>
        <w:rPr>
          <w:sz w:val="28"/>
          <w:szCs w:val="28"/>
        </w:rPr>
        <w:t xml:space="preserve">Speak up about safety concerns and ask for help when needed.</w:t>
      </w:r>
    </w:p>
    <w:p>
      <w:pPr>
        <w:pStyle w:val="ListParagraph"/>
        <w:numPr>
          <w:ilvl w:val="0"/>
          <w:numId w:val="2"/>
        </w:numPr>
        <w:spacing w:after="120" w:line="300"/>
      </w:pPr>
      <w:r>
        <w:rPr>
          <w:sz w:val="28"/>
          <w:szCs w:val="28"/>
        </w:rPr>
        <w:t xml:space="preserve">Treat membership in any national organization as a privilege carrying a higher standard.</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20 — Adult Workforce Participant Standards</w:t>
      </w:r>
    </w:p>
    <w:p>
      <w:pPr>
        <w:spacing w:after="160" w:before="0" w:line="300"/>
      </w:pPr>
      <w:r>
        <w:rPr>
          <w:sz w:val="28"/>
          <w:szCs w:val="28"/>
        </w:rPr>
        <w:t xml:space="preserve">Adult participants — including the Division IV Adult Employment Track and the 18+ Adult Evening Track — operate on workforce standards. Punctuality is not optional; professional conduct is not negotiable; personal responsibility is the baseline.</w:t>
      </w:r>
    </w:p>
    <w:p>
      <w:pPr>
        <w:pStyle w:val="ListParagraph"/>
        <w:numPr>
          <w:ilvl w:val="0"/>
          <w:numId w:val="2"/>
        </w:numPr>
        <w:spacing w:after="120" w:line="300"/>
      </w:pPr>
      <w:r>
        <w:rPr>
          <w:b/>
          <w:bCs/>
          <w:sz w:val="28"/>
          <w:szCs w:val="28"/>
        </w:rPr>
        <w:t xml:space="preserve">Professional conduct: </w:t>
      </w:r>
      <w:r>
        <w:rPr>
          <w:sz w:val="28"/>
          <w:szCs w:val="28"/>
        </w:rPr>
        <w:t xml:space="preserve">Professional tone at all times; no raised voices, demeaning language, or emotional outbursts toward participants or staff.</w:t>
      </w:r>
    </w:p>
    <w:p>
      <w:pPr>
        <w:pStyle w:val="ListParagraph"/>
        <w:numPr>
          <w:ilvl w:val="0"/>
          <w:numId w:val="2"/>
        </w:numPr>
        <w:spacing w:after="120" w:line="300"/>
      </w:pPr>
      <w:r>
        <w:rPr>
          <w:b/>
          <w:bCs/>
          <w:sz w:val="28"/>
          <w:szCs w:val="28"/>
        </w:rPr>
        <w:t xml:space="preserve">Punctuality &amp; attendance: </w:t>
      </w:r>
      <w:r>
        <w:rPr>
          <w:sz w:val="28"/>
          <w:szCs w:val="28"/>
        </w:rPr>
        <w:t xml:space="preserve">On-site, signed in, and ready as scheduled. Unexcused absence from required blocks may trigger the stipend-forfeiture protocol for eligible adults.</w:t>
      </w:r>
    </w:p>
    <w:p>
      <w:pPr>
        <w:pStyle w:val="ListParagraph"/>
        <w:numPr>
          <w:ilvl w:val="0"/>
          <w:numId w:val="2"/>
        </w:numPr>
        <w:spacing w:after="120" w:line="300"/>
      </w:pPr>
      <w:r>
        <w:rPr>
          <w:b/>
          <w:bCs/>
          <w:sz w:val="28"/>
          <w:szCs w:val="28"/>
        </w:rPr>
        <w:t xml:space="preserve">Worksite professionalism: </w:t>
      </w:r>
      <w:r>
        <w:rPr>
          <w:sz w:val="28"/>
          <w:szCs w:val="28"/>
        </w:rPr>
        <w:t xml:space="preserve">Follow all partner-employer and certification-program rules during applied experience and placement.</w:t>
      </w:r>
    </w:p>
    <w:p>
      <w:pPr>
        <w:pStyle w:val="ListParagraph"/>
        <w:numPr>
          <w:ilvl w:val="0"/>
          <w:numId w:val="2"/>
        </w:numPr>
        <w:spacing w:after="120" w:line="300"/>
      </w:pPr>
      <w:r>
        <w:rPr>
          <w:b/>
          <w:bCs/>
          <w:sz w:val="28"/>
          <w:szCs w:val="28"/>
        </w:rPr>
        <w:t xml:space="preserve">Mentorship: </w:t>
      </w:r>
      <w:r>
        <w:rPr>
          <w:sz w:val="28"/>
          <w:szCs w:val="28"/>
        </w:rPr>
        <w:t xml:space="preserve">Adults model the standard for youth participants and support a positive program culture.</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21 — Parent &amp; Guardian Responsibilities</w:t>
      </w:r>
    </w:p>
    <w:p>
      <w:pPr>
        <w:spacing w:after="160" w:before="0" w:line="300"/>
      </w:pPr>
      <w:r>
        <w:rPr>
          <w:sz w:val="28"/>
          <w:szCs w:val="28"/>
        </w:rPr>
        <w:t xml:space="preserve">Parents and guardians are full partners and are accountable to this handbook alongside their student. A strong home–program partnership is one of the best predictors of a student’s success.</w:t>
      </w:r>
    </w:p>
    <w:p>
      <w:pPr>
        <w:pStyle w:val="ListParagraph"/>
        <w:numPr>
          <w:ilvl w:val="0"/>
          <w:numId w:val="2"/>
        </w:numPr>
        <w:spacing w:after="120" w:line="300"/>
      </w:pPr>
      <w:r>
        <w:rPr>
          <w:sz w:val="28"/>
          <w:szCs w:val="28"/>
        </w:rPr>
        <w:t xml:space="preserve">Read this handbook with your student and support its policies, especially the Code of Conduct.</w:t>
      </w:r>
    </w:p>
    <w:p>
      <w:pPr>
        <w:pStyle w:val="ListParagraph"/>
        <w:numPr>
          <w:ilvl w:val="0"/>
          <w:numId w:val="2"/>
        </w:numPr>
        <w:spacing w:after="120" w:line="300"/>
      </w:pPr>
      <w:r>
        <w:rPr>
          <w:sz w:val="28"/>
          <w:szCs w:val="28"/>
        </w:rPr>
        <w:t xml:space="preserve">Send your student rested, on time, prepared, and in appropriate attire.</w:t>
      </w:r>
    </w:p>
    <w:p>
      <w:pPr>
        <w:pStyle w:val="ListParagraph"/>
        <w:numPr>
          <w:ilvl w:val="0"/>
          <w:numId w:val="2"/>
        </w:numPr>
        <w:spacing w:after="120" w:line="300"/>
      </w:pPr>
      <w:r>
        <w:rPr>
          <w:sz w:val="28"/>
          <w:szCs w:val="28"/>
        </w:rPr>
        <w:t xml:space="preserve">Keep contact, health, custody, and authorized-pickup information current.</w:t>
      </w:r>
    </w:p>
    <w:p>
      <w:pPr>
        <w:pStyle w:val="ListParagraph"/>
        <w:numPr>
          <w:ilvl w:val="0"/>
          <w:numId w:val="2"/>
        </w:numPr>
        <w:spacing w:after="120" w:line="300"/>
      </w:pPr>
      <w:r>
        <w:rPr>
          <w:sz w:val="28"/>
          <w:szCs w:val="28"/>
        </w:rPr>
        <w:t xml:space="preserve">Communicate early about absences, needs, and concerns — and respond to program communications.</w:t>
      </w:r>
    </w:p>
    <w:p>
      <w:pPr>
        <w:pStyle w:val="ListParagraph"/>
        <w:numPr>
          <w:ilvl w:val="0"/>
          <w:numId w:val="2"/>
        </w:numPr>
        <w:spacing w:after="120" w:line="300"/>
      </w:pPr>
      <w:r>
        <w:rPr>
          <w:sz w:val="28"/>
          <w:szCs w:val="28"/>
        </w:rPr>
        <w:t xml:space="preserve">Reinforce respect and accountability at home; support the academic improvement plan if one is in place.</w:t>
      </w:r>
    </w:p>
    <w:p>
      <w:pPr>
        <w:pStyle w:val="ListParagraph"/>
        <w:numPr>
          <w:ilvl w:val="0"/>
          <w:numId w:val="2"/>
        </w:numPr>
        <w:spacing w:after="120" w:line="300"/>
      </w:pPr>
      <w:r>
        <w:rPr>
          <w:sz w:val="28"/>
          <w:szCs w:val="28"/>
        </w:rPr>
        <w:t xml:space="preserve">Treat staff, students, and other families with respect; raise concerns through the grievance process (Part IX).</w:t>
      </w:r>
    </w:p>
    <w:p>
      <w:pPr>
        <w:pStyle w:val="ListParagraph"/>
        <w:numPr>
          <w:ilvl w:val="0"/>
          <w:numId w:val="2"/>
        </w:numPr>
        <w:spacing w:after="120" w:line="300"/>
      </w:pPr>
      <w:r>
        <w:rPr>
          <w:sz w:val="28"/>
          <w:szCs w:val="28"/>
        </w:rPr>
        <w:t xml:space="preserve">Meet financial commitments on the agreed schedule, or talk with us early about scholarships and payment plans.</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22 — Progressive Response to Conduct</w:t>
      </w:r>
    </w:p>
    <w:p>
      <w:pPr>
        <w:spacing w:after="160" w:before="0" w:line="300"/>
      </w:pPr>
      <w:r>
        <w:rPr>
          <w:sz w:val="28"/>
          <w:szCs w:val="28"/>
        </w:rPr>
        <w:t xml:space="preserve">Our discipline is developmental and fair. Depending on the seriousness of the behavior and whether it repeats, the response may move through the following steps. Serious conduct — violence, weapons, substances, conduct that endangers others, or anything involving the safety of a child — may result in immediate suspension or removal and, where required, reporting to authorities.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Step</w:t>
            </w:r>
          </w:p>
        </w:tc>
        <w:tc>
          <w:tcPr>
            <w:tcW w:type="dxa" w:w="59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What it looks like</w:t>
            </w:r>
          </w:p>
        </w:tc>
      </w:tr>
      <w:tr>
        <w:tc>
          <w:tcPr>
            <w:tcW w:type="dxa" w:w="3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 Redirect &amp; conversation</w:t>
            </w:r>
          </w:p>
        </w:tc>
        <w:tc>
          <w:tcPr>
            <w:tcW w:type="dxa" w:w="5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Staff name the behavior and reset expectations.</w:t>
            </w:r>
          </w:p>
        </w:tc>
      </w:tr>
      <w:tr>
        <w:tc>
          <w:tcPr>
            <w:tcW w:type="dxa" w:w="3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 Documented warning</w:t>
            </w:r>
          </w:p>
        </w:tc>
        <w:tc>
          <w:tcPr>
            <w:tcW w:type="dxa" w:w="5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Written notice to the participant and, for minors, the family.</w:t>
            </w:r>
          </w:p>
        </w:tc>
      </w:tr>
      <w:tr>
        <w:tc>
          <w:tcPr>
            <w:tcW w:type="dxa" w:w="3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3. Family/participant conference</w:t>
            </w:r>
          </w:p>
        </w:tc>
        <w:tc>
          <w:tcPr>
            <w:tcW w:type="dxa" w:w="5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 plan to repair and improve, with clear benchmarks.</w:t>
            </w:r>
          </w:p>
        </w:tc>
      </w:tr>
      <w:tr>
        <w:tc>
          <w:tcPr>
            <w:tcW w:type="dxa" w:w="3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4. Suspension</w:t>
            </w:r>
          </w:p>
        </w:tc>
        <w:tc>
          <w:tcPr>
            <w:tcW w:type="dxa" w:w="5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Temporary removal from program activities.</w:t>
            </w:r>
          </w:p>
        </w:tc>
      </w:tr>
      <w:tr>
        <w:tc>
          <w:tcPr>
            <w:tcW w:type="dxa" w:w="3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5. Removal</w:t>
            </w:r>
          </w:p>
        </w:tc>
        <w:tc>
          <w:tcPr>
            <w:tcW w:type="dxa" w:w="5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Separation from the program for serious or repeated violations.</w:t>
            </w:r>
          </w:p>
        </w:tc>
      </w:tr>
    </w:tbl>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23 — Anti-Bullying, Harassment &amp; Anti-Hazing</w:t>
      </w:r>
    </w:p>
    <w:p>
      <w:pPr>
        <w:spacing w:after="160" w:before="0" w:line="300"/>
      </w:pPr>
      <w:r>
        <w:rPr>
          <w:sz w:val="28"/>
          <w:szCs w:val="28"/>
        </w:rPr>
        <w:t xml:space="preserve">NFLA is a place of dignity. Bullying, harassment, intimidation, and discrimination have no place here, in person or online.</w:t>
      </w:r>
    </w:p>
    <w:p>
      <w:pPr>
        <w:pStyle w:val="ListParagraph"/>
        <w:numPr>
          <w:ilvl w:val="0"/>
          <w:numId w:val="2"/>
        </w:numPr>
        <w:spacing w:after="120" w:line="300"/>
      </w:pPr>
      <w:r>
        <w:rPr>
          <w:b/>
          <w:bCs/>
          <w:sz w:val="28"/>
          <w:szCs w:val="28"/>
        </w:rPr>
        <w:t xml:space="preserve">Anti-hazing: </w:t>
      </w:r>
      <w:r>
        <w:rPr>
          <w:sz w:val="28"/>
          <w:szCs w:val="28"/>
        </w:rPr>
        <w:t xml:space="preserve">Because NFLA charters honor societies and fraternities, we are explicit — hazing in any form is strictly prohibited. Membership is earned through merit, character, and contribution, never through humiliation, endangerment, or coercion. Any hazing is grounds for removal and, where applicable, referral to authorities.</w:t>
      </w:r>
    </w:p>
    <w:p>
      <w:pPr>
        <w:pStyle w:val="ListParagraph"/>
        <w:numPr>
          <w:ilvl w:val="0"/>
          <w:numId w:val="2"/>
        </w:numPr>
        <w:spacing w:after="120" w:line="300"/>
      </w:pPr>
      <w:r>
        <w:rPr>
          <w:b/>
          <w:bCs/>
          <w:sz w:val="28"/>
          <w:szCs w:val="28"/>
        </w:rPr>
        <w:t xml:space="preserve">Reporting: </w:t>
      </w:r>
      <w:r>
        <w:rPr>
          <w:sz w:val="28"/>
          <w:szCs w:val="28"/>
        </w:rPr>
        <w:t xml:space="preserve">Anyone who experiences or witnesses bullying, harassment, or hazing should report it to staff immediately. Reports are taken seriously and addressed promptly; retaliation is prohibited.</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24 — Academic &amp; Creative Integrity</w:t>
      </w:r>
    </w:p>
    <w:p>
      <w:pPr>
        <w:spacing w:after="160" w:before="0" w:line="300"/>
      </w:pPr>
      <w:r>
        <w:rPr>
          <w:sz w:val="28"/>
          <w:szCs w:val="28"/>
        </w:rPr>
        <w:t xml:space="preserve">Participants present their own work and give credit where it is due. Plagiarism, cheating on the 77-question final or other assessments, and misrepresenting others’ creative work as one’s own undermine the trust the program is built on and are addressed through the progressive-response process. Creative work students make for NFLA programs is documented in their portfolios; participants retain rights to pre-existing personal work they bring in that was not created for the program.</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25 — Technology &amp; Acceptable Use</w:t>
      </w:r>
    </w:p>
    <w:p>
      <w:pPr>
        <w:pStyle w:val="ListParagraph"/>
        <w:numPr>
          <w:ilvl w:val="0"/>
          <w:numId w:val="2"/>
        </w:numPr>
        <w:spacing w:after="120" w:line="300"/>
      </w:pPr>
      <w:r>
        <w:rPr>
          <w:sz w:val="28"/>
          <w:szCs w:val="28"/>
        </w:rPr>
        <w:t xml:space="preserve">Use NFLA technology, recording equipment, and online tools responsibly and only for program purposes.</w:t>
      </w:r>
    </w:p>
    <w:p>
      <w:pPr>
        <w:pStyle w:val="ListParagraph"/>
        <w:numPr>
          <w:ilvl w:val="0"/>
          <w:numId w:val="2"/>
        </w:numPr>
        <w:spacing w:after="120" w:line="300"/>
      </w:pPr>
      <w:r>
        <w:rPr>
          <w:sz w:val="28"/>
          <w:szCs w:val="28"/>
        </w:rPr>
        <w:t xml:space="preserve">Personal devices are limited during program hours per staff direction.</w:t>
      </w:r>
    </w:p>
    <w:p>
      <w:pPr>
        <w:pStyle w:val="ListParagraph"/>
        <w:numPr>
          <w:ilvl w:val="0"/>
          <w:numId w:val="2"/>
        </w:numPr>
        <w:spacing w:after="120" w:line="300"/>
      </w:pPr>
      <w:r>
        <w:rPr>
          <w:sz w:val="28"/>
          <w:szCs w:val="28"/>
        </w:rPr>
        <w:t xml:space="preserve">Do not record, photograph, or post other participants or program activities without authorization.</w:t>
      </w:r>
    </w:p>
    <w:p>
      <w:pPr>
        <w:pStyle w:val="ListParagraph"/>
        <w:numPr>
          <w:ilvl w:val="0"/>
          <w:numId w:val="2"/>
        </w:numPr>
        <w:spacing w:after="120" w:line="300"/>
      </w:pPr>
      <w:r>
        <w:rPr>
          <w:sz w:val="28"/>
          <w:szCs w:val="28"/>
        </w:rPr>
        <w:t xml:space="preserve">Protect accounts and confidential information; report misuse to staff.</w:t>
      </w:r>
    </w:p>
    <w:p>
      <w:pPr>
        <w:pageBreakBefore/>
        <w:spacing w:after="0" w:before="2600"/>
        <w:jc w:val="center"/>
      </w:pPr>
      <w:r>
        <w:rPr>
          <w:rFonts w:ascii="Georgia" w:cs="Georgia" w:eastAsia="Georgia" w:hAnsi="Georgia"/>
          <w:b/>
          <w:bCs/>
          <w:caps/>
          <w:color w:val="B8860B"/>
          <w:sz w:val="40"/>
          <w:szCs w:val="40"/>
        </w:rPr>
        <w:t xml:space="preserve">PART VIII</w:t>
      </w:r>
    </w:p>
    <w:p>
      <w:pPr>
        <w:pBdr>
          <w:top w:val="single" w:color="0B2545" w:sz="12" w:space="14"/>
          <w:bottom w:val="single" w:color="0B2545" w:sz="12" w:space="14"/>
        </w:pBdr>
        <w:spacing w:after="200" w:before="120"/>
        <w:jc w:val="center"/>
      </w:pPr>
      <w:r>
        <w:rPr>
          <w:rFonts w:ascii="Georgia" w:cs="Georgia" w:eastAsia="Georgia" w:hAnsi="Georgia"/>
          <w:b/>
          <w:bCs/>
          <w:color w:val="0B2545"/>
          <w:sz w:val="56"/>
          <w:szCs w:val="56"/>
        </w:rPr>
        <w:t xml:space="preserve">Health, Safety &amp; Wellness</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26 — Health &amp; Wellness</w:t>
      </w:r>
    </w:p>
    <w:p>
      <w:pPr>
        <w:spacing w:after="160" w:before="0" w:line="300"/>
      </w:pPr>
      <w:r>
        <w:rPr>
          <w:sz w:val="28"/>
          <w:szCs w:val="28"/>
        </w:rPr>
        <w:t xml:space="preserve">Families disclose all health conditions and allergies on the registration packet and keep them current. Health information is confidential and shared only with staff on a need-to-know basis to keep students safe. NFLA treats movement artists and agricultural workers as athletes whose long-term health matters, and integrates wellness, sports therapy, and injury prevention into programming.</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27 — Medication Administration</w:t>
      </w:r>
    </w:p>
    <w:p>
      <w:pPr>
        <w:pStyle w:val="ListParagraph"/>
        <w:numPr>
          <w:ilvl w:val="0"/>
          <w:numId w:val="2"/>
        </w:numPr>
        <w:spacing w:after="120" w:line="300"/>
      </w:pPr>
      <w:r>
        <w:rPr>
          <w:sz w:val="28"/>
          <w:szCs w:val="28"/>
        </w:rPr>
        <w:t xml:space="preserve">Staff administer medication only with written authorization from a parent/guardian (or the adult participant).</w:t>
      </w:r>
    </w:p>
    <w:p>
      <w:pPr>
        <w:pStyle w:val="ListParagraph"/>
        <w:numPr>
          <w:ilvl w:val="0"/>
          <w:numId w:val="2"/>
        </w:numPr>
        <w:spacing w:after="120" w:line="300"/>
      </w:pPr>
      <w:r>
        <w:rPr>
          <w:sz w:val="28"/>
          <w:szCs w:val="28"/>
        </w:rPr>
        <w:t xml:space="preserve">All medication must be in its original, labeled container.</w:t>
      </w:r>
    </w:p>
    <w:p>
      <w:pPr>
        <w:pStyle w:val="ListParagraph"/>
        <w:numPr>
          <w:ilvl w:val="0"/>
          <w:numId w:val="2"/>
        </w:numPr>
        <w:spacing w:after="120" w:line="300"/>
      </w:pPr>
      <w:r>
        <w:rPr>
          <w:sz w:val="28"/>
          <w:szCs w:val="28"/>
        </w:rPr>
        <w:t xml:space="preserve">Over-the-counter medications are given only as authorized on the packet and per label directions.</w:t>
      </w:r>
    </w:p>
    <w:p>
      <w:pPr>
        <w:pStyle w:val="ListParagraph"/>
        <w:numPr>
          <w:ilvl w:val="0"/>
          <w:numId w:val="2"/>
        </w:numPr>
        <w:spacing w:after="120" w:line="300"/>
      </w:pPr>
      <w:r>
        <w:rPr>
          <w:sz w:val="28"/>
          <w:szCs w:val="28"/>
        </w:rPr>
        <w:t xml:space="preserve">Emergency medications (such as an epinephrine auto-injector or inhaler) are registered with staff and kept accessible.</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28 — Illness, Injury &amp; Communicable Disease</w:t>
      </w:r>
    </w:p>
    <w:p>
      <w:pPr>
        <w:pStyle w:val="ListParagraph"/>
        <w:numPr>
          <w:ilvl w:val="0"/>
          <w:numId w:val="2"/>
        </w:numPr>
        <w:spacing w:after="120" w:line="300"/>
      </w:pPr>
      <w:r>
        <w:rPr>
          <w:sz w:val="28"/>
          <w:szCs w:val="28"/>
        </w:rPr>
        <w:t xml:space="preserve">Keep a sick student home and notify the office; staff may send home a student who is ill to protect others.</w:t>
      </w:r>
    </w:p>
    <w:p>
      <w:pPr>
        <w:pStyle w:val="ListParagraph"/>
        <w:numPr>
          <w:ilvl w:val="0"/>
          <w:numId w:val="2"/>
        </w:numPr>
        <w:spacing w:after="120" w:line="300"/>
      </w:pPr>
      <w:r>
        <w:rPr>
          <w:sz w:val="28"/>
          <w:szCs w:val="28"/>
        </w:rPr>
        <w:t xml:space="preserve">Staff provide first aid as trained and notify families of injuries promptly.</w:t>
      </w:r>
    </w:p>
    <w:p>
      <w:pPr>
        <w:pStyle w:val="ListParagraph"/>
        <w:numPr>
          <w:ilvl w:val="0"/>
          <w:numId w:val="2"/>
        </w:numPr>
        <w:spacing w:after="120" w:line="300"/>
      </w:pPr>
      <w:r>
        <w:rPr>
          <w:sz w:val="28"/>
          <w:szCs w:val="28"/>
        </w:rPr>
        <w:t xml:space="preserve">Families report communicable illnesses so staff can take appropriate steps.</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29 — Allergies &amp; Anaphylaxis</w:t>
      </w:r>
    </w:p>
    <w:p>
      <w:pPr>
        <w:spacing w:after="160" w:before="0" w:line="300"/>
      </w:pPr>
      <w:r>
        <w:rPr>
          <w:sz w:val="28"/>
          <w:szCs w:val="28"/>
        </w:rPr>
        <w:t xml:space="preserve">Disclose all allergies on the packet and provide any prescribed emergency medication with written authorization. NFLA maintains an allergy and anaphylaxis plan; for a life-threatening reaction, staff call 911, administer prescribed emergency medication as authorized, and notify families immediately.</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30 — The Micro-Farm, Livestock &amp; Animal Safety</w:t>
      </w:r>
    </w:p>
    <w:p>
      <w:pPr>
        <w:spacing w:after="160" w:before="0" w:line="300"/>
      </w:pPr>
      <w:r>
        <w:rPr>
          <w:sz w:val="28"/>
          <w:szCs w:val="28"/>
        </w:rPr>
        <w:t xml:space="preserve">Division I includes hands-on agriculture and an educational micro-farm. At the Monroe site during summer programming, youth-appropriate animals (such as puppies, rabbits, and baby chicks) are used for supervised animal-care education. At the future Morven campus (Year 2), the program expands to larger livestock such as goats and calves under licensed veterinary supervision.</w:t>
      </w:r>
    </w:p>
    <w:p>
      <w:pPr>
        <w:pStyle w:val="ListParagraph"/>
        <w:numPr>
          <w:ilvl w:val="0"/>
          <w:numId w:val="2"/>
        </w:numPr>
        <w:spacing w:after="120" w:line="300"/>
      </w:pPr>
      <w:r>
        <w:rPr>
          <w:sz w:val="28"/>
          <w:szCs w:val="28"/>
        </w:rPr>
        <w:t xml:space="preserve">All animals are cared for humanely under qualified supervision and applicable animal-welfare standards.</w:t>
      </w:r>
    </w:p>
    <w:p>
      <w:pPr>
        <w:pStyle w:val="ListParagraph"/>
        <w:numPr>
          <w:ilvl w:val="0"/>
          <w:numId w:val="2"/>
        </w:numPr>
        <w:spacing w:after="120" w:line="300"/>
      </w:pPr>
      <w:r>
        <w:rPr>
          <w:sz w:val="28"/>
          <w:szCs w:val="28"/>
        </w:rPr>
        <w:t xml:space="preserve">A licensed veterinarian/veterinary technician supports the animal-science program.</w:t>
      </w:r>
    </w:p>
    <w:p>
      <w:pPr>
        <w:pStyle w:val="ListParagraph"/>
        <w:numPr>
          <w:ilvl w:val="0"/>
          <w:numId w:val="2"/>
        </w:numPr>
        <w:spacing w:after="120" w:line="300"/>
      </w:pPr>
      <w:r>
        <w:rPr>
          <w:sz w:val="28"/>
          <w:szCs w:val="28"/>
        </w:rPr>
        <w:t xml:space="preserve">Students follow hygiene and safety rules around animals, tools, and equipment; hand-washing is required after animal contact and before food handling.</w:t>
      </w:r>
    </w:p>
    <w:p>
      <w:pPr>
        <w:pStyle w:val="ListParagraph"/>
        <w:numPr>
          <w:ilvl w:val="0"/>
          <w:numId w:val="2"/>
        </w:numPr>
        <w:spacing w:after="120" w:line="300"/>
      </w:pPr>
      <w:r>
        <w:rPr>
          <w:sz w:val="28"/>
          <w:szCs w:val="28"/>
        </w:rPr>
        <w:t xml:space="preserve">Families disclose animal allergies on the packet.</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31 — Food, Nutrition &amp; Farm-to-Table</w:t>
      </w:r>
    </w:p>
    <w:p>
      <w:pPr>
        <w:spacing w:after="160" w:before="0" w:line="300"/>
      </w:pPr>
      <w:r>
        <w:rPr>
          <w:sz w:val="28"/>
          <w:szCs w:val="28"/>
        </w:rPr>
        <w:t xml:space="preserve">The Farm-to-Table program prepares meals from food students grow, integrating culinary arts, food safety (ServSafe-aligned), and nutrition. Families list all dietary restrictions on the packet so meals and snacks can be planned safely.</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32 — Safety, Security &amp; Visitors</w:t>
      </w:r>
    </w:p>
    <w:p>
      <w:pPr>
        <w:pStyle w:val="ListParagraph"/>
        <w:numPr>
          <w:ilvl w:val="0"/>
          <w:numId w:val="2"/>
        </w:numPr>
        <w:spacing w:after="120" w:line="300"/>
      </w:pPr>
      <w:r>
        <w:rPr>
          <w:sz w:val="28"/>
          <w:szCs w:val="28"/>
        </w:rPr>
        <w:t xml:space="preserve">All visitors check in and are supervised; only authorized adults may pick up a student.</w:t>
      </w:r>
    </w:p>
    <w:p>
      <w:pPr>
        <w:pStyle w:val="ListParagraph"/>
        <w:numPr>
          <w:ilvl w:val="0"/>
          <w:numId w:val="2"/>
        </w:numPr>
        <w:spacing w:after="120" w:line="300"/>
      </w:pPr>
      <w:r>
        <w:rPr>
          <w:sz w:val="28"/>
          <w:szCs w:val="28"/>
        </w:rPr>
        <w:t xml:space="preserve">Staff maintain visible-space supervision — no unsupervised one-on-one contact between an adult and a student.</w:t>
      </w:r>
    </w:p>
    <w:p>
      <w:pPr>
        <w:pStyle w:val="ListParagraph"/>
        <w:numPr>
          <w:ilvl w:val="0"/>
          <w:numId w:val="2"/>
        </w:numPr>
        <w:spacing w:after="120" w:line="300"/>
      </w:pPr>
      <w:r>
        <w:rPr>
          <w:sz w:val="28"/>
          <w:szCs w:val="28"/>
        </w:rPr>
        <w:t xml:space="preserve">Students remain in supervised areas; safety rules govern studios, kitchens, the micro-farm, and equipment.</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33 — Emergency Preparedness</w:t>
      </w:r>
    </w:p>
    <w:p>
      <w:pPr>
        <w:spacing w:after="160" w:before="0" w:line="300"/>
      </w:pPr>
      <w:r>
        <w:rPr>
          <w:sz w:val="28"/>
          <w:szCs w:val="28"/>
        </w:rPr>
        <w:t xml:space="preserve">Staff are trained to respond to emergencies and practice age-appropriate safety procedures. For a life-threatening emergency, staff call 911 first, then notify families immediately using the contacts on file. NFLA may close or adjust hours for severe weather or safety; families are notified through the contacts on file. Keep your contact information current.</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34 — Child Protection &amp; Mandated Reporting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Every staff member is a mandated reporter</w:t>
            </w:r>
          </w:p>
          <w:p>
            <w:pPr>
              <w:spacing w:after="0" w:before="0" w:line="300"/>
            </w:pPr>
            <w:r>
              <w:rPr>
                <w:sz w:val="26"/>
                <w:szCs w:val="26"/>
              </w:rPr>
              <w:t xml:space="preserve">All NFLA staff and contractors who work with minors are mandated reporters under North Carolina law (N.C.G.S. § 7B-301) and will report any suspected child abuse or neglect to the appropriate authorities. Staff are screened, interactions with minors occur in visible spaces, and the safety of every child is the program’s highest priority.</w:t>
            </w:r>
          </w:p>
        </w:tc>
      </w:tr>
    </w:tbl>
    <w:p>
      <w:pPr>
        <w:pageBreakBefore/>
        <w:spacing w:after="0" w:before="2600"/>
        <w:jc w:val="center"/>
      </w:pPr>
      <w:r>
        <w:rPr>
          <w:rFonts w:ascii="Georgia" w:cs="Georgia" w:eastAsia="Georgia" w:hAnsi="Georgia"/>
          <w:b/>
          <w:bCs/>
          <w:caps/>
          <w:color w:val="B8860B"/>
          <w:sz w:val="40"/>
          <w:szCs w:val="40"/>
        </w:rPr>
        <w:t xml:space="preserve">PART IX</w:t>
      </w:r>
    </w:p>
    <w:p>
      <w:pPr>
        <w:pBdr>
          <w:top w:val="single" w:color="0B2545" w:sz="12" w:space="14"/>
          <w:bottom w:val="single" w:color="0B2545" w:sz="12" w:space="14"/>
        </w:pBdr>
        <w:spacing w:after="200" w:before="120"/>
        <w:jc w:val="center"/>
      </w:pPr>
      <w:r>
        <w:rPr>
          <w:rFonts w:ascii="Georgia" w:cs="Georgia" w:eastAsia="Georgia" w:hAnsi="Georgia"/>
          <w:b/>
          <w:bCs/>
          <w:color w:val="0B2545"/>
          <w:sz w:val="56"/>
          <w:szCs w:val="56"/>
        </w:rPr>
        <w:t xml:space="preserve">Families, Rights &amp; Records</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35 — Family Engagement &amp; Communication</w:t>
      </w:r>
    </w:p>
    <w:p>
      <w:pPr>
        <w:pStyle w:val="ListParagraph"/>
        <w:numPr>
          <w:ilvl w:val="0"/>
          <w:numId w:val="2"/>
        </w:numPr>
        <w:spacing w:after="120" w:line="300"/>
      </w:pPr>
      <w:r>
        <w:rPr>
          <w:b/>
          <w:bCs/>
          <w:sz w:val="28"/>
          <w:szCs w:val="28"/>
        </w:rPr>
        <w:t xml:space="preserve">Email </w:t>
      </w:r>
      <w:r>
        <w:rPr>
          <w:sz w:val="28"/>
          <w:szCs w:val="28"/>
        </w:rPr>
        <w:t xml:space="preserve">is the primary channel for schedules, updates, and progress — keep your address current.</w:t>
      </w:r>
    </w:p>
    <w:p>
      <w:pPr>
        <w:pStyle w:val="ListParagraph"/>
        <w:numPr>
          <w:ilvl w:val="0"/>
          <w:numId w:val="2"/>
        </w:numPr>
        <w:spacing w:after="120" w:line="300"/>
      </w:pPr>
      <w:r>
        <w:rPr>
          <w:b/>
          <w:bCs/>
          <w:sz w:val="28"/>
          <w:szCs w:val="28"/>
        </w:rPr>
        <w:t xml:space="preserve">Phone and text </w:t>
      </w:r>
      <w:r>
        <w:rPr>
          <w:sz w:val="28"/>
          <w:szCs w:val="28"/>
        </w:rPr>
        <w:t xml:space="preserve">are used for time-sensitive matters and emergencies.</w:t>
      </w:r>
    </w:p>
    <w:p>
      <w:pPr>
        <w:pStyle w:val="ListParagraph"/>
        <w:numPr>
          <w:ilvl w:val="0"/>
          <w:numId w:val="2"/>
        </w:numPr>
        <w:spacing w:after="120" w:line="300"/>
      </w:pPr>
      <w:r>
        <w:rPr>
          <w:b/>
          <w:bCs/>
          <w:sz w:val="28"/>
          <w:szCs w:val="28"/>
        </w:rPr>
        <w:t xml:space="preserve">The office </w:t>
      </w:r>
      <w:r>
        <w:rPr>
          <w:sz w:val="28"/>
          <w:szCs w:val="28"/>
        </w:rPr>
        <w:t xml:space="preserve">(Admin@na3foundation.org · 980-497-2748) is the right first contact for nearly everything.</w:t>
      </w:r>
    </w:p>
    <w:p>
      <w:pPr>
        <w:pStyle w:val="ListParagraph"/>
        <w:numPr>
          <w:ilvl w:val="0"/>
          <w:numId w:val="2"/>
        </w:numPr>
        <w:spacing w:after="120" w:line="300"/>
      </w:pPr>
      <w:r>
        <w:rPr>
          <w:b/>
          <w:bCs/>
          <w:sz w:val="28"/>
          <w:szCs w:val="28"/>
        </w:rPr>
        <w:t xml:space="preserve">Progress </w:t>
      </w:r>
      <w:r>
        <w:rPr>
          <w:sz w:val="28"/>
          <w:szCs w:val="28"/>
        </w:rPr>
        <w:t xml:space="preserve">is shared through the IDP, progress reviews, showcases, and any time a concern arises.</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36 — Volunteering</w:t>
      </w:r>
    </w:p>
    <w:p>
      <w:pPr>
        <w:spacing w:after="160" w:before="0" w:line="300"/>
      </w:pPr>
      <w:r>
        <w:rPr>
          <w:sz w:val="28"/>
          <w:szCs w:val="28"/>
        </w:rPr>
        <w:t xml:space="preserve">Families are welcome to support the program. Volunteers who work with students complete the program’s screening and follow all conduct and child-protection rules, including visible-space supervision.</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37 — Student Records &amp; FERPA</w:t>
      </w:r>
    </w:p>
    <w:p>
      <w:pPr>
        <w:spacing w:after="160" w:before="0" w:line="300"/>
      </w:pPr>
      <w:r>
        <w:rPr>
          <w:sz w:val="28"/>
          <w:szCs w:val="28"/>
        </w:rPr>
        <w:t xml:space="preserve">Families may inspect, review, and request correction of their student’s education records, and may control disclosure of personally identifiable information except where disclosure is permitted by law. NFLA may designate limited “directory information” (such as a first name and last initial and participation); families may opt out of directory disclosures in writing. Records are kept securely and shared only as permitted.</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38 — Accommodations &amp; Accessibility</w:t>
      </w:r>
    </w:p>
    <w:p>
      <w:pPr>
        <w:spacing w:after="160" w:before="0" w:line="300"/>
      </w:pPr>
      <w:r>
        <w:rPr>
          <w:sz w:val="28"/>
          <w:szCs w:val="28"/>
        </w:rPr>
        <w:t xml:space="preserve">NFLA provides reasonable accommodations to students and family members with disabilities so they can participate fully, consistent with the ADA and Section 504. To request an accommodation, contact the office. Families with an existing IEP or 504 Plan are encouraged to share it so staff can support the student well.</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39 — Grievance Procedure</w:t>
      </w:r>
    </w:p>
    <w:p>
      <w:pPr>
        <w:spacing w:after="160" w:before="0" w:line="300"/>
      </w:pPr>
      <w:r>
        <w:rPr>
          <w:sz w:val="28"/>
          <w:szCs w:val="28"/>
        </w:rPr>
        <w:t xml:space="preserve">Most concerns are resolved quickly and informally with the office. If a concern is not resolved:</w:t>
      </w:r>
    </w:p>
    <w:p>
      <w:pPr>
        <w:pStyle w:val="ListParagraph"/>
        <w:numPr>
          <w:ilvl w:val="0"/>
          <w:numId w:val="3"/>
        </w:numPr>
        <w:spacing w:after="120" w:line="300"/>
      </w:pPr>
      <w:r>
        <w:rPr>
          <w:sz w:val="28"/>
          <w:szCs w:val="28"/>
        </w:rPr>
        <w:t xml:space="preserve">Raise it with the relevant staff member or the office (Admin@na3foundation.org · 980-497-2748).</w:t>
      </w:r>
    </w:p>
    <w:p>
      <w:pPr>
        <w:pStyle w:val="ListParagraph"/>
        <w:numPr>
          <w:ilvl w:val="0"/>
          <w:numId w:val="4"/>
        </w:numPr>
        <w:spacing w:after="120" w:line="300"/>
      </w:pPr>
      <w:r>
        <w:rPr>
          <w:sz w:val="28"/>
          <w:szCs w:val="28"/>
        </w:rPr>
        <w:t xml:space="preserve">If unresolved, submit a written grievance to the Program Director.</w:t>
      </w:r>
    </w:p>
    <w:p>
      <w:pPr>
        <w:pStyle w:val="ListParagraph"/>
        <w:numPr>
          <w:ilvl w:val="0"/>
          <w:numId w:val="5"/>
        </w:numPr>
        <w:spacing w:after="120" w:line="300"/>
      </w:pPr>
      <w:r>
        <w:rPr>
          <w:sz w:val="28"/>
          <w:szCs w:val="28"/>
        </w:rPr>
        <w:t xml:space="preserve">The Program Director reviews and responds, escalating to Foundation leadership if needed.</w:t>
      </w:r>
    </w:p>
    <w:p>
      <w:pPr>
        <w:spacing w:after="160" w:before="0" w:line="300"/>
      </w:pPr>
      <w:r>
        <w:rPr>
          <w:sz w:val="28"/>
          <w:szCs w:val="28"/>
        </w:rPr>
        <w:t xml:space="preserve">Retaliation for raising a good-faith concern is prohibited.</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Section 40 — Field Trips &amp; Transportation</w:t>
      </w:r>
    </w:p>
    <w:p>
      <w:pPr>
        <w:spacing w:after="160" w:before="0" w:line="300"/>
      </w:pPr>
      <w:r>
        <w:rPr>
          <w:sz w:val="28"/>
          <w:szCs w:val="28"/>
        </w:rPr>
        <w:t xml:space="preserve">Students participate in off-site activities such as the National Youth Harvest Market, performances, and community events, with parent permission collected on the packet. Transportation arrangements and any Extended-Day transportation plan are confirmed in advance. Summer standard pickup is 3:30 PM; after-school pickup is 7:30 PM.</w:t>
      </w:r>
    </w:p>
    <w:p>
      <w:pPr>
        <w:pageBreakBefore/>
        <w:spacing w:after="0" w:before="2600"/>
        <w:jc w:val="center"/>
      </w:pPr>
      <w:r>
        <w:rPr>
          <w:rFonts w:ascii="Georgia" w:cs="Georgia" w:eastAsia="Georgia" w:hAnsi="Georgia"/>
          <w:b/>
          <w:bCs/>
          <w:caps/>
          <w:color w:val="B8860B"/>
          <w:sz w:val="40"/>
          <w:szCs w:val="40"/>
        </w:rPr>
        <w:t xml:space="preserve">PART X</w:t>
      </w:r>
    </w:p>
    <w:p>
      <w:pPr>
        <w:pBdr>
          <w:top w:val="single" w:color="0B2545" w:sz="12" w:space="14"/>
          <w:bottom w:val="single" w:color="0B2545" w:sz="12" w:space="14"/>
        </w:pBdr>
        <w:spacing w:after="200" w:before="120"/>
        <w:jc w:val="center"/>
      </w:pPr>
      <w:r>
        <w:rPr>
          <w:rFonts w:ascii="Georgia" w:cs="Georgia" w:eastAsia="Georgia" w:hAnsi="Georgia"/>
          <w:b/>
          <w:bCs/>
          <w:color w:val="0B2545"/>
          <w:sz w:val="56"/>
          <w:szCs w:val="56"/>
        </w:rPr>
        <w:t xml:space="preserve">Appendices</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Appendix A — Key Contacts &amp; Quick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Need</w:t>
            </w:r>
          </w:p>
        </w:tc>
        <w:tc>
          <w:tcPr>
            <w:tcW w:type="dxa" w:w="59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Contact</w:t>
            </w:r>
          </w:p>
        </w:tc>
      </w:tr>
      <w:tr>
        <w:tc>
          <w:tcPr>
            <w:tcW w:type="dxa" w:w="3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Main office</w:t>
            </w:r>
          </w:p>
        </w:tc>
        <w:tc>
          <w:tcPr>
            <w:tcW w:type="dxa" w:w="5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980-497-2748  ·  Admin@na3foundation.org</w:t>
            </w:r>
          </w:p>
        </w:tc>
      </w:tr>
      <w:tr>
        <w:tc>
          <w:tcPr>
            <w:tcW w:type="dxa" w:w="3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Website</w:t>
            </w:r>
          </w:p>
        </w:tc>
        <w:tc>
          <w:tcPr>
            <w:tcW w:type="dxa" w:w="5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NA3foundation.org</w:t>
            </w:r>
          </w:p>
        </w:tc>
      </w:tr>
      <w:tr>
        <w:tc>
          <w:tcPr>
            <w:tcW w:type="dxa" w:w="3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Address</w:t>
            </w:r>
          </w:p>
        </w:tc>
        <w:tc>
          <w:tcPr>
            <w:tcW w:type="dxa" w:w="5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3515 W. Roosevelt Blvd, Monroe, NC</w:t>
            </w:r>
          </w:p>
        </w:tc>
      </w:tr>
      <w:tr>
        <w:tc>
          <w:tcPr>
            <w:tcW w:type="dxa" w:w="3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Emergency</w:t>
            </w:r>
          </w:p>
        </w:tc>
        <w:tc>
          <w:tcPr>
            <w:tcW w:type="dxa" w:w="5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Call 911 first, then notify the office</w:t>
            </w:r>
          </w:p>
        </w:tc>
      </w:tr>
      <w:tr>
        <w:tc>
          <w:tcPr>
            <w:tcW w:type="dxa" w:w="34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Enrollment / billing / health / grievances</w:t>
            </w:r>
          </w:p>
        </w:tc>
        <w:tc>
          <w:tcPr>
            <w:tcW w:type="dxa" w:w="59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Admin@na3foundation.org (note the topic in the subject line)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Quick fact</w:t>
            </w:r>
          </w:p>
        </w:tc>
        <w:tc>
          <w:tcPr>
            <w:tcW w:type="dxa" w:w="468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Answer</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Hours</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Summer 7:00 AM–3:30 PM (early drop-off 6:00 AM) · After-school 3:30–7:30 PM</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Extended Day (16+)</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Summer 3:30–7:30 PM with parental agreement</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Registration fee</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$25 (one-time)</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Tuition</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Tier 1 $55/wk  ·  Tier 2 $125/wk  ·  $333.33/month</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Showcase eligibility</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70%+ on the 7-Pillar Assessment</w:t>
            </w:r>
          </w:p>
        </w:tc>
      </w:tr>
      <w:tr>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Dual-core rule</w:t>
            </w:r>
          </w:p>
        </w:tc>
        <w:tc>
          <w:tcPr>
            <w:tcW w:type="dxa" w:w="468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1 Agriculture field + 1 Arts field (required)</w:t>
            </w:r>
          </w:p>
        </w:tc>
      </w:tr>
    </w:tbl>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Appendix B — The National Organizations &amp; Competitions at a Glance</w:t>
      </w:r>
    </w:p>
    <w:p>
      <w:pPr>
        <w:pStyle w:val="Heading2"/>
        <w:spacing w:after="110" w:before="240"/>
      </w:pPr>
      <w:r>
        <w:rPr>
          <w:rFonts w:ascii="Georgia" w:cs="Georgia" w:eastAsia="Georgia" w:hAnsi="Georgia"/>
          <w:b/>
          <w:bCs/>
          <w:color w:val="2F5233"/>
          <w:sz w:val="36"/>
          <w:szCs w:val="36"/>
        </w:rPr>
        <w:t xml:space="preserve">Organizations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4160"/>
      </w:tblGrid>
      <w:tr>
        <w:trPr>
          <w:tblHeader/>
        </w:trPr>
        <w:tc>
          <w:tcPr>
            <w:tcW w:type="dxa" w:w="52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Organization</w:t>
            </w:r>
          </w:p>
        </w:tc>
        <w:tc>
          <w:tcPr>
            <w:tcW w:type="dxa" w:w="41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Tier / Focus</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Nu Upsilon Alpha (National Youth Artists, Inc.)</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Youth honor society — Arts</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Nu Upsilon Phi (National Youth Farmers, Inc.)</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Youth honor society — Agriculture</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Nu Upsilon Epsilon (National Youth Entrepreneurs, Inc.)</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Youth honor society — Entrepreneurship</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Beta Phi Omicron (Black Farmers Organization, Inc.)</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Adult fraternity — Agriculture / Workforce</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Pi Alpha Omega (Performing Arts Organization, Inc.)</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Adult fraternity — Visual &amp; Performing Arts</w:t>
            </w:r>
          </w:p>
        </w:tc>
      </w:tr>
      <w:tr>
        <w:tc>
          <w:tcPr>
            <w:tcW w:type="dxa" w:w="52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Epsilon Omicron Alpha (Entrepreneurs of America, Inc.)</w:t>
            </w:r>
          </w:p>
        </w:tc>
        <w:tc>
          <w:tcPr>
            <w:tcW w:type="dxa" w:w="41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Adult fraternity — Business &amp; Innovation</w:t>
            </w:r>
          </w:p>
        </w:tc>
      </w:tr>
    </w:tbl>
    <w:p>
      <w:pPr>
        <w:pStyle w:val="Heading2"/>
        <w:spacing w:after="110" w:before="240"/>
      </w:pPr>
      <w:r>
        <w:rPr>
          <w:rFonts w:ascii="Georgia" w:cs="Georgia" w:eastAsia="Georgia" w:hAnsi="Georgia"/>
          <w:b/>
          <w:bCs/>
          <w:color w:val="2F5233"/>
          <w:sz w:val="36"/>
          <w:szCs w:val="36"/>
        </w:rPr>
        <w:t xml:space="preserve">National Competitions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rPr>
          <w:tblHeader/>
        </w:trPr>
        <w:tc>
          <w:tcPr>
            <w:tcW w:type="dxa" w:w="600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Competition</w:t>
            </w:r>
          </w:p>
        </w:tc>
        <w:tc>
          <w:tcPr>
            <w:tcW w:type="dxa" w:w="3360"/>
            <w:tcBorders>
              <w:top w:val="single" w:color="AEB8C6" w:sz="3"/>
              <w:left w:val="single" w:color="AEB8C6" w:sz="3"/>
              <w:bottom w:val="single" w:color="AEB8C6" w:sz="3"/>
              <w:right w:val="single" w:color="AEB8C6" w:sz="3"/>
            </w:tcBorders>
            <w:shd w:fill="0B2545" w:color="auto" w:val="clear"/>
            <w:tcMar>
              <w:top w:type="dxa" w:w="70"/>
              <w:left w:type="dxa" w:w="110"/>
              <w:bottom w:type="dxa" w:w="70"/>
              <w:right w:type="dxa" w:w="110"/>
            </w:tcMar>
            <w:vAlign w:val="center"/>
          </w:tcPr>
          <w:p>
            <w:pPr>
              <w:spacing w:after="0" w:line="280"/>
            </w:pPr>
            <w:r>
              <w:rPr>
                <w:b/>
                <w:bCs/>
                <w:color w:val="FFFFFF"/>
                <w:sz w:val="26"/>
                <w:szCs w:val="26"/>
              </w:rPr>
              <w:t xml:space="preserve">Division</w:t>
            </w:r>
          </w:p>
        </w:tc>
      </w:tr>
      <w:tr>
        <w:tc>
          <w:tcPr>
            <w:tcW w:type="dxa" w:w="60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National Youth Harvest Market</w:t>
            </w:r>
          </w:p>
        </w:tc>
        <w:tc>
          <w:tcPr>
            <w:tcW w:type="dxa" w:w="33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I — Agriculture</w:t>
            </w:r>
          </w:p>
        </w:tc>
      </w:tr>
      <w:tr>
        <w:tc>
          <w:tcPr>
            <w:tcW w:type="dxa" w:w="60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National Artist of the World Showcase</w:t>
            </w:r>
          </w:p>
        </w:tc>
        <w:tc>
          <w:tcPr>
            <w:tcW w:type="dxa" w:w="33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II — Arts</w:t>
            </w:r>
          </w:p>
        </w:tc>
      </w:tr>
      <w:tr>
        <w:tc>
          <w:tcPr>
            <w:tcW w:type="dxa" w:w="60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National E-STEM Competition</w:t>
            </w:r>
          </w:p>
        </w:tc>
        <w:tc>
          <w:tcPr>
            <w:tcW w:type="dxa" w:w="33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III — Entrepreneurship, Tech &amp; Sciences</w:t>
            </w:r>
          </w:p>
        </w:tc>
      </w:tr>
      <w:tr>
        <w:tc>
          <w:tcPr>
            <w:tcW w:type="dxa" w:w="600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b/>
                <w:bCs/>
                <w:sz w:val="26"/>
                <w:szCs w:val="26"/>
              </w:rPr>
              <w:t xml:space="preserve">NA³ Universal Competition</w:t>
            </w:r>
          </w:p>
        </w:tc>
        <w:tc>
          <w:tcPr>
            <w:tcW w:type="dxa" w:w="3360"/>
            <w:tcBorders>
              <w:top w:val="single" w:color="AEB8C6" w:sz="3"/>
              <w:left w:val="single" w:color="AEB8C6" w:sz="3"/>
              <w:bottom w:val="single" w:color="AEB8C6" w:sz="3"/>
              <w:right w:val="single" w:color="AEB8C6" w:sz="3"/>
            </w:tcBorders>
            <w:tcMar>
              <w:top w:type="dxa" w:w="70"/>
              <w:left w:type="dxa" w:w="110"/>
              <w:bottom w:type="dxa" w:w="70"/>
              <w:right w:type="dxa" w:w="110"/>
            </w:tcMar>
            <w:vAlign w:val="center"/>
          </w:tcPr>
          <w:p>
            <w:pPr>
              <w:spacing w:after="0" w:line="280"/>
            </w:pPr>
            <w:r>
              <w:rPr>
                <w:sz w:val="26"/>
                <w:szCs w:val="26"/>
              </w:rPr>
              <w:t xml:space="preserve">ALL fields &amp; ALL ages combined — “no age defines your talent”</w:t>
            </w:r>
          </w:p>
        </w:tc>
      </w:tr>
    </w:tbl>
    <w:p>
      <w:pPr>
        <w:spacing w:after="160" w:before="0" w:line="300"/>
      </w:pPr>
      <w:r>
        <w:rPr>
          <w:i/>
          <w:iCs/>
          <w:color w:val="555555"/>
          <w:sz w:val="24"/>
          <w:szCs w:val="24"/>
        </w:rPr>
        <w:t xml:space="preserve">Each competition is offered in a Youth Division (18 &amp; under) and an Adult Division (18+). The NA³ Universal Competition combines all ages and all fields together.</w:t>
      </w:r>
    </w:p>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Appendix C — The NFLA Accountability Compact</w:t>
      </w:r>
    </w:p>
    <w:p>
      <w:pPr>
        <w:spacing w:after="160" w:before="0" w:line="300"/>
      </w:pPr>
      <w:r>
        <w:rPr>
          <w:sz w:val="28"/>
          <w:szCs w:val="28"/>
        </w:rPr>
        <w:t xml:space="preserve">NFLA, the student, and the family are partners. This compact is our shared promise. Review it together and sign — it is the standard we hold one another to.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NFLA commits to:</w:t>
            </w:r>
          </w:p>
          <w:p>
            <w:pPr>
              <w:pStyle w:val="ListParagraph"/>
              <w:numPr>
                <w:ilvl w:val="0"/>
                <w:numId w:val="2"/>
              </w:numPr>
              <w:spacing w:after="120" w:line="300"/>
            </w:pPr>
            <w:r>
              <w:rPr>
                <w:sz w:val="28"/>
                <w:szCs w:val="28"/>
              </w:rPr>
              <w:t xml:space="preserve">Teach with excellence and high expectations.</w:t>
            </w:r>
          </w:p>
          <w:p>
            <w:pPr>
              <w:pStyle w:val="ListParagraph"/>
              <w:numPr>
                <w:ilvl w:val="0"/>
                <w:numId w:val="2"/>
              </w:numPr>
              <w:spacing w:after="120" w:line="300"/>
            </w:pPr>
            <w:r>
              <w:rPr>
                <w:sz w:val="28"/>
                <w:szCs w:val="28"/>
              </w:rPr>
              <w:t xml:space="preserve">Treat every person with dignity and fairness.</w:t>
            </w:r>
          </w:p>
          <w:p>
            <w:pPr>
              <w:pStyle w:val="ListParagraph"/>
              <w:numPr>
                <w:ilvl w:val="0"/>
                <w:numId w:val="2"/>
              </w:numPr>
              <w:spacing w:after="120" w:line="300"/>
            </w:pPr>
            <w:r>
              <w:rPr>
                <w:sz w:val="28"/>
                <w:szCs w:val="28"/>
              </w:rPr>
              <w:t xml:space="preserve">Communicate clearly and protect student privacy.</w:t>
            </w:r>
          </w:p>
          <w:p>
            <w:pPr>
              <w:pStyle w:val="ListParagraph"/>
              <w:numPr>
                <w:ilvl w:val="0"/>
                <w:numId w:val="2"/>
              </w:numPr>
              <w:spacing w:after="0" w:line="300"/>
            </w:pPr>
            <w:r>
              <w:rPr>
                <w:sz w:val="28"/>
                <w:szCs w:val="28"/>
              </w:rPr>
              <w:t xml:space="preserve">Open real doors to certification, employment, and ownership.</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E4EDE4" w:color="auto" w:val="clear"/>
            <w:tcMar>
              <w:top w:type="dxa" w:w="140"/>
              <w:left w:type="dxa" w:w="200"/>
              <w:bottom w:type="dxa" w:w="140"/>
              <w:right w:type="dxa" w:w="160"/>
            </w:tcMar>
          </w:tcPr>
          <w:p>
            <w:pPr>
              <w:spacing w:after="80"/>
            </w:pPr>
            <w:r>
              <w:rPr>
                <w:b/>
                <w:bCs/>
                <w:color w:val="0B2545"/>
                <w:sz w:val="30"/>
                <w:szCs w:val="30"/>
              </w:rPr>
              <w:t xml:space="preserve">The student commits to:</w:t>
            </w:r>
          </w:p>
          <w:p>
            <w:pPr>
              <w:pStyle w:val="ListParagraph"/>
              <w:numPr>
                <w:ilvl w:val="0"/>
                <w:numId w:val="2"/>
              </w:numPr>
              <w:spacing w:after="120" w:line="300"/>
            </w:pPr>
            <w:r>
              <w:rPr>
                <w:sz w:val="28"/>
                <w:szCs w:val="28"/>
              </w:rPr>
              <w:t xml:space="preserve">Show up on time, prepared, and ready to work.</w:t>
            </w:r>
          </w:p>
          <w:p>
            <w:pPr>
              <w:pStyle w:val="ListParagraph"/>
              <w:numPr>
                <w:ilvl w:val="0"/>
                <w:numId w:val="2"/>
              </w:numPr>
              <w:spacing w:after="120" w:line="300"/>
            </w:pPr>
            <w:r>
              <w:rPr>
                <w:sz w:val="28"/>
                <w:szCs w:val="28"/>
              </w:rPr>
              <w:t xml:space="preserve">Respect people, spaces, tools, animals, and the host facility.</w:t>
            </w:r>
          </w:p>
          <w:p>
            <w:pPr>
              <w:pStyle w:val="ListParagraph"/>
              <w:numPr>
                <w:ilvl w:val="0"/>
                <w:numId w:val="2"/>
              </w:numPr>
              <w:spacing w:after="120" w:line="300"/>
            </w:pPr>
            <w:r>
              <w:rPr>
                <w:sz w:val="28"/>
                <w:szCs w:val="28"/>
              </w:rPr>
              <w:t xml:space="preserve">Give honest effort and follow the Code of Conduct.</w:t>
            </w:r>
          </w:p>
          <w:p>
            <w:pPr>
              <w:pStyle w:val="ListParagraph"/>
              <w:numPr>
                <w:ilvl w:val="0"/>
                <w:numId w:val="2"/>
              </w:numPr>
              <w:spacing w:after="0" w:line="300"/>
            </w:pPr>
            <w:r>
              <w:rPr>
                <w:sz w:val="28"/>
                <w:szCs w:val="28"/>
              </w:rPr>
              <w:t xml:space="preserve">Keep school grades up and pursue the IDP goals.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3E9CE" w:color="auto" w:val="clear"/>
            <w:tcMar>
              <w:top w:type="dxa" w:w="140"/>
              <w:left w:type="dxa" w:w="200"/>
              <w:bottom w:type="dxa" w:w="140"/>
              <w:right w:type="dxa" w:w="160"/>
            </w:tcMar>
          </w:tcPr>
          <w:p>
            <w:pPr>
              <w:spacing w:after="80"/>
            </w:pPr>
            <w:r>
              <w:rPr>
                <w:b/>
                <w:bCs/>
                <w:color w:val="0B2545"/>
                <w:sz w:val="30"/>
                <w:szCs w:val="30"/>
              </w:rPr>
              <w:t xml:space="preserve">The parent/guardian commits to:</w:t>
            </w:r>
          </w:p>
          <w:p>
            <w:pPr>
              <w:pStyle w:val="ListParagraph"/>
              <w:numPr>
                <w:ilvl w:val="0"/>
                <w:numId w:val="2"/>
              </w:numPr>
              <w:spacing w:after="120" w:line="300"/>
            </w:pPr>
            <w:r>
              <w:rPr>
                <w:sz w:val="28"/>
                <w:szCs w:val="28"/>
              </w:rPr>
              <w:t xml:space="preserve">Partner with NFLA and reinforce these standards at home.</w:t>
            </w:r>
          </w:p>
          <w:p>
            <w:pPr>
              <w:pStyle w:val="ListParagraph"/>
              <w:numPr>
                <w:ilvl w:val="0"/>
                <w:numId w:val="2"/>
              </w:numPr>
              <w:spacing w:after="120" w:line="300"/>
            </w:pPr>
            <w:r>
              <w:rPr>
                <w:sz w:val="28"/>
                <w:szCs w:val="28"/>
              </w:rPr>
              <w:t xml:space="preserve">Keep information current and communicate early.</w:t>
            </w:r>
          </w:p>
          <w:p>
            <w:pPr>
              <w:pStyle w:val="ListParagraph"/>
              <w:numPr>
                <w:ilvl w:val="0"/>
                <w:numId w:val="2"/>
              </w:numPr>
              <w:spacing w:after="120" w:line="300"/>
            </w:pPr>
            <w:r>
              <w:rPr>
                <w:sz w:val="28"/>
                <w:szCs w:val="28"/>
              </w:rPr>
              <w:t xml:space="preserve">Support attendance, conduct, and any academic improvement plan.</w:t>
            </w:r>
          </w:p>
          <w:p>
            <w:pPr>
              <w:pStyle w:val="ListParagraph"/>
              <w:numPr>
                <w:ilvl w:val="0"/>
                <w:numId w:val="2"/>
              </w:numPr>
              <w:spacing w:after="0" w:line="300"/>
            </w:pPr>
            <w:r>
              <w:rPr>
                <w:sz w:val="28"/>
                <w:szCs w:val="28"/>
              </w:rPr>
              <w:t xml:space="preserve">Meet financial commitments or talk with us early about aid.</w:t>
            </w:r>
          </w:p>
        </w:tc>
      </w:tr>
    </w:tbl>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Appendix D — Acknowledgment of Receipt &amp; Agreement</w:t>
      </w:r>
    </w:p>
    <w:p>
      <w:pPr>
        <w:spacing w:after="160" w:before="0" w:line="300"/>
      </w:pPr>
      <w:r>
        <w:rPr>
          <w:sz w:val="28"/>
          <w:szCs w:val="28"/>
        </w:rPr>
        <w:t xml:space="preserve">Please complete, sign, and return this page. A signed acknowledgment is required for every enrolled student and adult participant.</w:t>
      </w:r>
    </w:p>
    <w:p>
      <w:pPr>
        <w:pStyle w:val="ListParagraph"/>
        <w:numPr>
          <w:ilvl w:val="0"/>
          <w:numId w:val="2"/>
        </w:numPr>
        <w:spacing w:after="120" w:line="300"/>
      </w:pPr>
      <w:r>
        <w:rPr>
          <w:sz w:val="28"/>
          <w:szCs w:val="28"/>
        </w:rPr>
        <w:t xml:space="preserve">I have received and reviewed the NFLA Student, Adult Workforce &amp; Parent Handbook (2026).</w:t>
      </w:r>
    </w:p>
    <w:p>
      <w:pPr>
        <w:pStyle w:val="ListParagraph"/>
        <w:numPr>
          <w:ilvl w:val="0"/>
          <w:numId w:val="2"/>
        </w:numPr>
        <w:spacing w:after="120" w:line="300"/>
      </w:pPr>
      <w:r>
        <w:rPr>
          <w:sz w:val="28"/>
          <w:szCs w:val="28"/>
        </w:rPr>
        <w:t xml:space="preserve">I understand and agree to support the Code of Conduct and all program policies, including health, safety, technology, and accountability standards.</w:t>
      </w:r>
    </w:p>
    <w:p>
      <w:pPr>
        <w:pStyle w:val="ListParagraph"/>
        <w:numPr>
          <w:ilvl w:val="0"/>
          <w:numId w:val="2"/>
        </w:numPr>
        <w:spacing w:after="120" w:line="300"/>
      </w:pPr>
      <w:r>
        <w:rPr>
          <w:sz w:val="28"/>
          <w:szCs w:val="28"/>
        </w:rPr>
        <w:t xml:space="preserve">I understand the 7-Pillar Assessment (50% baseline), the 77-question final, and that Showcase eligibility requires 70%+.</w:t>
      </w:r>
    </w:p>
    <w:p>
      <w:pPr>
        <w:pStyle w:val="ListParagraph"/>
        <w:numPr>
          <w:ilvl w:val="0"/>
          <w:numId w:val="2"/>
        </w:numPr>
        <w:spacing w:after="120" w:line="300"/>
      </w:pPr>
      <w:r>
        <w:rPr>
          <w:sz w:val="28"/>
          <w:szCs w:val="28"/>
        </w:rPr>
        <w:t xml:space="preserve">I understand tuition terms and that no student is turned away for inability to pay.</w:t>
      </w:r>
    </w:p>
    <w:p>
      <w:pPr>
        <w:pStyle w:val="ListParagraph"/>
        <w:numPr>
          <w:ilvl w:val="0"/>
          <w:numId w:val="2"/>
        </w:numPr>
        <w:spacing w:after="120" w:line="300"/>
      </w:pPr>
      <w:r>
        <w:rPr>
          <w:sz w:val="28"/>
          <w:szCs w:val="28"/>
        </w:rPr>
        <w:t xml:space="preserve">I understand this handbook is a program guide, not legal advice, and that official governing documents control where they conflict.</w:t>
      </w:r>
    </w:p>
    <w:p>
      <w:pPr>
        <w:pBdr>
          <w:bottom w:val="single" w:color="0B2545" w:sz="6" w:space="2"/>
        </w:pBdr>
        <w:spacing w:after="0" w:before="360"/>
      </w:pPr>
      <w:r>
        <w:rPr>
          <w:sz w:val="28"/>
          <w:szCs w:val="28"/>
        </w:rPr>
        <w:t xml:space="preserve"> </w:t>
      </w:r>
    </w:p>
    <w:p>
      <w:pPr>
        <w:spacing w:after="140"/>
      </w:pPr>
      <w:r>
        <w:rPr>
          <w:color w:val="555555"/>
          <w:sz w:val="24"/>
          <w:szCs w:val="24"/>
        </w:rPr>
        <w:t xml:space="preserve">Student Full Name (print)</w:t>
      </w:r>
    </w:p>
    <w:p>
      <w:pPr>
        <w:pBdr>
          <w:bottom w:val="single" w:color="0B2545" w:sz="6" w:space="2"/>
        </w:pBdr>
        <w:spacing w:after="0" w:before="360"/>
      </w:pPr>
      <w:r>
        <w:rPr>
          <w:sz w:val="28"/>
          <w:szCs w:val="28"/>
        </w:rPr>
        <w:t xml:space="preserve"> </w:t>
      </w:r>
    </w:p>
    <w:p>
      <w:pPr>
        <w:spacing w:after="140"/>
      </w:pPr>
      <w:r>
        <w:rPr>
          <w:color w:val="555555"/>
          <w:sz w:val="24"/>
          <w:szCs w:val="24"/>
        </w:rPr>
        <w:t xml:space="preserve">Student Signature (age 13+)                                                            Date</w:t>
      </w:r>
    </w:p>
    <w:p>
      <w:pPr>
        <w:pBdr>
          <w:bottom w:val="single" w:color="0B2545" w:sz="6" w:space="2"/>
        </w:pBdr>
        <w:spacing w:after="0" w:before="360"/>
      </w:pPr>
      <w:r>
        <w:rPr>
          <w:sz w:val="28"/>
          <w:szCs w:val="28"/>
        </w:rPr>
        <w:t xml:space="preserve"> </w:t>
      </w:r>
    </w:p>
    <w:p>
      <w:pPr>
        <w:spacing w:after="140"/>
      </w:pPr>
      <w:r>
        <w:rPr>
          <w:color w:val="555555"/>
          <w:sz w:val="24"/>
          <w:szCs w:val="24"/>
        </w:rPr>
        <w:t xml:space="preserve">Parent / Guardian Full Name (print)</w:t>
      </w:r>
    </w:p>
    <w:p>
      <w:pPr>
        <w:pBdr>
          <w:bottom w:val="single" w:color="0B2545" w:sz="6" w:space="2"/>
        </w:pBdr>
        <w:spacing w:after="0" w:before="360"/>
      </w:pPr>
      <w:r>
        <w:rPr>
          <w:sz w:val="28"/>
          <w:szCs w:val="28"/>
        </w:rPr>
        <w:t xml:space="preserve"> </w:t>
      </w:r>
    </w:p>
    <w:p>
      <w:pPr>
        <w:spacing w:after="140"/>
      </w:pPr>
      <w:r>
        <w:rPr>
          <w:color w:val="555555"/>
          <w:sz w:val="24"/>
          <w:szCs w:val="24"/>
        </w:rPr>
        <w:t xml:space="preserve">Parent / Guardian Signature                                                          Date</w:t>
      </w:r>
    </w:p>
    <w:p>
      <w:pPr>
        <w:pBdr>
          <w:bottom w:val="single" w:color="0B2545" w:sz="6" w:space="2"/>
        </w:pBdr>
        <w:spacing w:after="0" w:before="360"/>
      </w:pPr>
      <w:r>
        <w:rPr>
          <w:sz w:val="28"/>
          <w:szCs w:val="28"/>
        </w:rPr>
        <w:t xml:space="preserve"> </w:t>
      </w:r>
    </w:p>
    <w:p>
      <w:pPr>
        <w:spacing w:after="140"/>
      </w:pPr>
      <w:r>
        <w:rPr>
          <w:color w:val="555555"/>
          <w:sz w:val="24"/>
          <w:szCs w:val="24"/>
        </w:rPr>
        <w:t xml:space="preserve">Adult Participant Signature (18+, if applicable)                            Date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EB8C6" w:sz="4"/>
              <w:left w:val="single" w:color="B8860B" w:sz="24"/>
              <w:bottom w:val="single" w:color="AEB8C6" w:sz="4"/>
              <w:right w:val="single" w:color="AEB8C6" w:sz="4"/>
            </w:tcBorders>
            <w:shd w:fill="FBF8F1" w:color="auto" w:val="clear"/>
            <w:tcMar>
              <w:top w:type="dxa" w:w="140"/>
              <w:left w:type="dxa" w:w="200"/>
              <w:bottom w:type="dxa" w:w="140"/>
              <w:right w:type="dxa" w:w="160"/>
            </w:tcMar>
          </w:tcPr>
          <w:p>
            <w:pPr>
              <w:spacing w:after="80"/>
            </w:pPr>
            <w:r>
              <w:rPr>
                <w:b/>
                <w:bCs/>
                <w:color w:val="0B2545"/>
                <w:sz w:val="30"/>
                <w:szCs w:val="30"/>
              </w:rPr>
              <w:t xml:space="preserve">Office use only</w:t>
            </w:r>
          </w:p>
          <w:p>
            <w:pPr>
              <w:spacing w:after="0" w:before="0" w:line="300"/>
            </w:pPr>
            <w:r>
              <w:rPr>
                <w:sz w:val="24"/>
                <w:szCs w:val="24"/>
              </w:rPr>
              <w:t xml:space="preserve">Received by: ____________________   Date: __________   Filed:  ☐ Student record   ☐ Database</w:t>
            </w:r>
          </w:p>
        </w:tc>
      </w:tr>
    </w:tbl>
    <w:p>
      <w:pPr>
        <w:pStyle w:val="Heading1"/>
        <w:pageBreakBefore/>
        <w:pBdr>
          <w:bottom w:val="single" w:color="B8860B" w:sz="10" w:space="6"/>
        </w:pBdr>
        <w:spacing w:after="160" w:before="120"/>
      </w:pPr>
      <w:r>
        <w:rPr>
          <w:rFonts w:ascii="Georgia" w:cs="Georgia" w:eastAsia="Georgia" w:hAnsi="Georgia"/>
          <w:b/>
          <w:bCs/>
          <w:color w:val="0B2545"/>
          <w:sz w:val="48"/>
          <w:szCs w:val="48"/>
        </w:rPr>
        <w:t xml:space="preserve">Appendix E — Glossary</w:t>
      </w:r>
    </w:p>
    <w:p>
      <w:pPr>
        <w:spacing w:after="100" w:line="300"/>
        <w:ind w:left="360" w:hanging="360"/>
      </w:pPr>
      <w:r>
        <w:rPr>
          <w:b/>
          <w:bCs/>
          <w:color w:val="0B2545"/>
          <w:sz w:val="28"/>
          <w:szCs w:val="28"/>
        </w:rPr>
        <w:t xml:space="preserve">Dual-Core.  </w:t>
      </w:r>
      <w:r>
        <w:rPr>
          <w:sz w:val="28"/>
          <w:szCs w:val="28"/>
        </w:rPr>
        <w:t xml:space="preserve">The requirement that every student complete one Agriculture field and one Arts field.</w:t>
      </w:r>
    </w:p>
    <w:p>
      <w:pPr>
        <w:spacing w:after="100" w:line="300"/>
        <w:ind w:left="360" w:hanging="360"/>
      </w:pPr>
      <w:r>
        <w:rPr>
          <w:b/>
          <w:bCs/>
          <w:color w:val="0B2545"/>
          <w:sz w:val="28"/>
          <w:szCs w:val="28"/>
        </w:rPr>
        <w:t xml:space="preserve">IDP.  </w:t>
      </w:r>
      <w:r>
        <w:rPr>
          <w:sz w:val="28"/>
          <w:szCs w:val="28"/>
        </w:rPr>
        <w:t xml:space="preserve">Individual Development Plan — the written plan produced after the 40-Day Assessment.</w:t>
      </w:r>
    </w:p>
    <w:p>
      <w:pPr>
        <w:spacing w:after="100" w:line="300"/>
        <w:ind w:left="360" w:hanging="360"/>
      </w:pPr>
      <w:r>
        <w:rPr>
          <w:b/>
          <w:bCs/>
          <w:color w:val="0B2545"/>
          <w:sz w:val="28"/>
          <w:szCs w:val="28"/>
        </w:rPr>
        <w:t xml:space="preserve">7-Pillar Assessment.  </w:t>
      </w:r>
      <w:r>
        <w:rPr>
          <w:sz w:val="28"/>
          <w:szCs w:val="28"/>
        </w:rPr>
        <w:t xml:space="preserve">The seven-pillar system used to measure progress; every participant starts at a 50% baseline.</w:t>
      </w:r>
    </w:p>
    <w:p>
      <w:pPr>
        <w:spacing w:after="100" w:line="300"/>
        <w:ind w:left="360" w:hanging="360"/>
      </w:pPr>
      <w:r>
        <w:rPr>
          <w:b/>
          <w:bCs/>
          <w:color w:val="0B2545"/>
          <w:sz w:val="28"/>
          <w:szCs w:val="28"/>
        </w:rPr>
        <w:t xml:space="preserve">Showcase.  </w:t>
      </w:r>
      <w:r>
        <w:rPr>
          <w:sz w:val="28"/>
          <w:szCs w:val="28"/>
        </w:rPr>
        <w:t xml:space="preserve">The National Artist of the World Showcase; performing requires a 70%+ score.</w:t>
      </w:r>
    </w:p>
    <w:p>
      <w:pPr>
        <w:spacing w:after="100" w:line="300"/>
        <w:ind w:left="360" w:hanging="360"/>
      </w:pPr>
      <w:r>
        <w:rPr>
          <w:b/>
          <w:bCs/>
          <w:color w:val="0B2545"/>
          <w:sz w:val="28"/>
          <w:szCs w:val="28"/>
        </w:rPr>
        <w:t xml:space="preserve">Nu Upsilon (chapter).  </w:t>
      </w:r>
      <w:r>
        <w:rPr>
          <w:sz w:val="28"/>
          <w:szCs w:val="28"/>
        </w:rPr>
        <w:t xml:space="preserve">The youth honor-society chapter (Alpha=Arts, Phi=Farmers, Epsilon=Entrepreneurs).</w:t>
      </w:r>
    </w:p>
    <w:p>
      <w:pPr>
        <w:spacing w:after="100" w:line="300"/>
        <w:ind w:left="360" w:hanging="360"/>
      </w:pPr>
      <w:r>
        <w:rPr>
          <w:b/>
          <w:bCs/>
          <w:color w:val="0B2545"/>
          <w:sz w:val="28"/>
          <w:szCs w:val="28"/>
        </w:rPr>
        <w:t xml:space="preserve">Mandated Reporter.  </w:t>
      </w:r>
      <w:r>
        <w:rPr>
          <w:sz w:val="28"/>
          <w:szCs w:val="28"/>
        </w:rPr>
        <w:t xml:space="preserve">A person required by NC law (N.C.G.S. § 7B-301) to report suspected child abuse or neglect; all staff qualify.</w:t>
      </w:r>
    </w:p>
    <w:p>
      <w:pPr>
        <w:spacing w:after="100" w:line="300"/>
        <w:ind w:left="360" w:hanging="360"/>
      </w:pPr>
      <w:r>
        <w:rPr>
          <w:b/>
          <w:bCs/>
          <w:color w:val="0B2545"/>
          <w:sz w:val="28"/>
          <w:szCs w:val="28"/>
        </w:rPr>
        <w:t xml:space="preserve">Division IV.  </w:t>
      </w:r>
      <w:r>
        <w:rPr>
          <w:sz w:val="28"/>
          <w:szCs w:val="28"/>
        </w:rPr>
        <w:t xml:space="preserve">The Adult Employment track — immediate placement with concurrent certification.</w:t>
      </w:r>
    </w:p>
    <w:p>
      <w:pPr>
        <w:pageBreakBefore/>
        <w:spacing w:after="160" w:before="2400"/>
        <w:jc w:val="center"/>
      </w:pPr>
      <w:r>
        <w:rPr>
          <w:rFonts w:ascii="Georgia" w:cs="Georgia" w:eastAsia="Georgia" w:hAnsi="Georgia"/>
          <w:b/>
          <w:bCs/>
          <w:color w:val="0B2545"/>
          <w:sz w:val="44"/>
          <w:szCs w:val="44"/>
        </w:rPr>
        <w:t xml:space="preserve">National Future Leaders of America</w:t>
      </w:r>
    </w:p>
    <w:p>
      <w:pPr>
        <w:spacing w:after="120"/>
        <w:jc w:val="center"/>
      </w:pPr>
      <w:r>
        <w:rPr>
          <w:i/>
          <w:iCs/>
          <w:color w:val="B8860B"/>
          <w:sz w:val="26"/>
          <w:szCs w:val="26"/>
        </w:rPr>
        <w:t xml:space="preserve">“From Seed to Harvest — From Student to Leader — From Nothing to Everything.”</w:t>
      </w:r>
    </w:p>
    <w:p>
      <w:pPr>
        <w:pBdr>
          <w:top w:val="single" w:color="B8860B" w:sz="8" w:space="8"/>
        </w:pBdr>
        <w:spacing w:before="160"/>
        <w:jc w:val="center"/>
      </w:pPr>
      <w:r>
        <w:rPr>
          <w:color w:val="555555"/>
          <w:sz w:val="22"/>
          <w:szCs w:val="22"/>
        </w:rPr>
        <w:t xml:space="preserve">A program of The National Arts, Agriculture &amp; Advancement Foundation</w:t>
      </w:r>
    </w:p>
    <w:p>
      <w:pPr>
        <w:jc w:val="center"/>
      </w:pPr>
      <w:r>
        <w:rPr>
          <w:color w:val="555555"/>
          <w:sz w:val="22"/>
          <w:szCs w:val="22"/>
        </w:rPr>
        <w:t xml:space="preserve">3515 W. Roosevelt Blvd, Monroe, NC  ·  980-497-2748  ·  NA3foundation.org</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EB8C6" w:sz="4" w:space="4"/>
      </w:pBdr>
      <w:tabs>
        <w:tab w:val="right" w:pos="9360"/>
      </w:tabs>
      <w:spacing w:before="90"/>
    </w:pPr>
    <w:r>
      <w:rPr>
        <w:color w:val="555555"/>
        <w:sz w:val="16"/>
        <w:szCs w:val="16"/>
      </w:rPr>
      <w:t xml:space="preserve">NA3foundation.org  ·  980-497-2748  ·  Monroe, NC</w:t>
    </w:r>
    <w:r>
      <w:rPr>
        <w:color w:val="0B2545"/>
        <w:sz w:val="18"/>
        <w:szCs w:val="18"/>
      </w:rPr>
      <w:t xml:space="preserve">	Page </w:t>
    </w:r>
    <w:r>
      <w:rPr>
        <w:b/>
        <w:bCs/>
        <w:color w:val="0B2545"/>
        <w:sz w:val="18"/>
        <w:szCs w:val="18"/>
      </w:rPr>
      <w:fldChar w:fldCharType="begin"/>
      <w:instrText xml:space="preserve">PAGE</w:instrText>
      <w:fldChar w:fldCharType="separate"/>
      <w:fldChar w:fldCharType="end"/>
    </w:r>
    <w:r>
      <w:rPr>
        <w:color w:val="0B2545"/>
        <w:sz w:val="18"/>
        <w:szCs w:val="18"/>
      </w:rPr>
      <w:t xml:space="preserve"> of </w:t>
    </w:r>
    <w:r>
      <w:rPr>
        <w:b/>
        <w:bCs/>
        <w:color w:val="0B2545"/>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AEB8C6" w:sz="4" w:space="4"/>
      </w:pBdr>
      <w:tabs>
        <w:tab w:val="right" w:pos="9360"/>
      </w:tabs>
      <w:spacing w:after="100"/>
    </w:pPr>
    <w:r>
      <w:rPr>
        <w:b/>
        <w:bCs/>
        <w:color w:val="0B2545"/>
        <w:sz w:val="18"/>
        <w:szCs w:val="18"/>
      </w:rPr>
      <w:t xml:space="preserve">National Future Leaders of America (NFLA)</w:t>
    </w:r>
    <w:r>
      <w:rPr>
        <w:color w:val="555555"/>
        <w:sz w:val="18"/>
        <w:szCs w:val="18"/>
      </w:rPr>
      <w:t xml:space="preserve">	Student, Adult Workforce &amp; Parent Handbook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20"/>
      </w:pPr>
      <w:rPr>
        <w:sz w:val="28"/>
        <w:szCs w:val="28"/>
      </w:rPr>
    </w:lvl>
  </w:abstractNum>
  <w:abstractNum w:abstractNumId="3" w15:restartNumberingAfterBreak="0">
    <w:multiLevelType w:val="hybridMultilevel"/>
    <w:lvl w:ilvl="0" w15:tentative="1">
      <w:start w:val="1"/>
      <w:numFmt w:val="bullet"/>
      <w:lvlText w:val="–"/>
      <w:lvlJc w:val="left"/>
      <w:pPr>
        <w:ind w:left="980" w:hanging="300"/>
      </w:pPr>
      <w:rPr>
        <w:sz w:val="28"/>
        <w:szCs w:val="28"/>
      </w:rPr>
    </w:lvl>
  </w:abstractNum>
  <w:abstractNum w:abstractNumId="4" w15:restartNumberingAfterBreak="0">
    <w:multiLevelType w:val="hybridMultilevel"/>
    <w:lvl w:ilvl="0" w15:tentative="1">
      <w:start w:val="1"/>
      <w:numFmt w:val="decimal"/>
      <w:lvlText w:val="%1."/>
      <w:lvlJc w:val="left"/>
      <w:pPr>
        <w:ind w:left="620" w:hanging="360"/>
      </w:pPr>
      <w:rPr>
        <w:sz w:val="28"/>
        <w:szCs w:val="28"/>
      </w:rPr>
    </w:lvl>
  </w:abstractNum>
  <w:abstractNum w:abstractNumId="5" w15:restartNumberingAfterBreak="0">
    <w:multiLevelType w:val="hybridMultilevel"/>
    <w:lvl w:ilvl="0" w15:tentative="1">
      <w:start w:val="1"/>
      <w:numFmt w:val="decimal"/>
      <w:lvlText w:val="%1."/>
      <w:lvlJc w:val="left"/>
      <w:pPr>
        <w:ind w:left="620" w:hanging="360"/>
      </w:pPr>
      <w:rPr>
        <w:sz w:val="28"/>
        <w:szCs w:val="28"/>
      </w:rPr>
    </w:lvl>
  </w:abstractNum>
  <w:abstractNum w:abstractNumId="6" w15:restartNumberingAfterBreak="0">
    <w:multiLevelType w:val="hybridMultilevel"/>
    <w:lvl w:ilvl="0" w15:tentative="1">
      <w:start w:val="1"/>
      <w:numFmt w:val="decimal"/>
      <w:lvlText w:val="%1."/>
      <w:lvlJc w:val="left"/>
      <w:pPr>
        <w:ind w:left="620" w:hanging="360"/>
      </w:pPr>
      <w:rPr>
        <w:sz w:val="28"/>
        <w:szCs w:val="28"/>
      </w:rPr>
    </w:lvl>
  </w:abstractNum>
  <w:abstractNum w:abstractNumId="7" w15:restartNumberingAfterBreak="0">
    <w:multiLevelType w:val="hybridMultilevel"/>
    <w:lvl w:ilvl="0" w15:tentative="1">
      <w:start w:val="1"/>
      <w:numFmt w:val="decimal"/>
      <w:lvlText w:val="%1."/>
      <w:lvlJc w:val="left"/>
      <w:pPr>
        <w:ind w:left="620" w:hanging="360"/>
      </w:pPr>
      <w:rPr>
        <w:sz w:val="28"/>
        <w:szCs w:val="28"/>
      </w:rPr>
    </w:lvl>
  </w:abstractNum>
  <w:abstractNum w:abstractNumId="8" w15:restartNumberingAfterBreak="0">
    <w:multiLevelType w:val="hybridMultilevel"/>
    <w:lvl w:ilvl="0" w15:tentative="1">
      <w:start w:val="1"/>
      <w:numFmt w:val="decimal"/>
      <w:lvlText w:val="%1."/>
      <w:lvlJc w:val="left"/>
      <w:pPr>
        <w:ind w:left="620" w:hanging="360"/>
      </w:pPr>
      <w:rPr>
        <w:sz w:val="28"/>
        <w:szCs w:val="28"/>
      </w:rPr>
    </w:lvl>
  </w:abstractNum>
  <w:abstractNum w:abstractNumId="9" w15:restartNumberingAfterBreak="0">
    <w:multiLevelType w:val="hybridMultilevel"/>
    <w:lvl w:ilvl="0" w15:tentative="1">
      <w:start w:val="1"/>
      <w:numFmt w:val="decimal"/>
      <w:lvlText w:val="%1."/>
      <w:lvlJc w:val="left"/>
      <w:pPr>
        <w:ind w:left="620" w:hanging="360"/>
      </w:pPr>
      <w:rPr>
        <w:sz w:val="28"/>
        <w:szCs w:val="28"/>
      </w:rPr>
    </w:lvl>
  </w:abstractNum>
  <w:abstractNum w:abstractNumId="10" w15:restartNumberingAfterBreak="0">
    <w:multiLevelType w:val="hybridMultilevel"/>
    <w:lvl w:ilvl="0" w15:tentative="1">
      <w:start w:val="1"/>
      <w:numFmt w:val="decimal"/>
      <w:lvlText w:val="%1."/>
      <w:lvlJc w:val="left"/>
      <w:pPr>
        <w:ind w:left="620" w:hanging="360"/>
      </w:pPr>
      <w:rPr>
        <w:sz w:val="28"/>
        <w:szCs w:val="28"/>
      </w:rPr>
    </w:lvl>
  </w:abstractNum>
  <w:abstractNum w:abstractNumId="11" w15:restartNumberingAfterBreak="0">
    <w:multiLevelType w:val="hybridMultilevel"/>
    <w:lvl w:ilvl="0" w15:tentative="1">
      <w:start w:val="1"/>
      <w:numFmt w:val="decimal"/>
      <w:lvlText w:val="%1."/>
      <w:lvlJc w:val="left"/>
      <w:pPr>
        <w:ind w:left="620" w:hanging="360"/>
      </w:pPr>
      <w:rPr>
        <w:sz w:val="28"/>
        <w:szCs w:val="28"/>
      </w:rPr>
    </w:lvl>
  </w:abstractNum>
  <w:abstractNum w:abstractNumId="12" w15:restartNumberingAfterBreak="0">
    <w:multiLevelType w:val="hybridMultilevel"/>
    <w:lvl w:ilvl="0" w15:tentative="1">
      <w:start w:val="1"/>
      <w:numFmt w:val="decimal"/>
      <w:lvlText w:val="%1."/>
      <w:lvlJc w:val="left"/>
      <w:pPr>
        <w:ind w:left="620" w:hanging="360"/>
      </w:pPr>
      <w:rPr>
        <w:sz w:val="28"/>
        <w:szCs w:val="28"/>
      </w:rPr>
    </w:lvl>
  </w:abstractNum>
  <w:abstractNum w:abstractNumId="13" w15:restartNumberingAfterBreak="0">
    <w:multiLevelType w:val="hybridMultilevel"/>
    <w:lvl w:ilvl="0" w15:tentative="1">
      <w:start w:val="1"/>
      <w:numFmt w:val="decimal"/>
      <w:lvlText w:val="%1."/>
      <w:lvlJc w:val="left"/>
      <w:pPr>
        <w:ind w:left="620" w:hanging="360"/>
      </w:pPr>
      <w:rPr>
        <w:sz w:val="28"/>
        <w:szCs w:val="28"/>
      </w:rPr>
    </w:lvl>
  </w:abstractNum>
  <w:abstractNum w:abstractNumId="14" w15:restartNumberingAfterBreak="0">
    <w:multiLevelType w:val="hybridMultilevel"/>
    <w:lvl w:ilvl="0" w15:tentative="1">
      <w:start w:val="1"/>
      <w:numFmt w:val="decimal"/>
      <w:lvlText w:val="%1."/>
      <w:lvlJc w:val="left"/>
      <w:pPr>
        <w:ind w:left="620" w:hanging="360"/>
      </w:pPr>
      <w:rPr>
        <w:sz w:val="28"/>
        <w:szCs w:val="28"/>
      </w:rPr>
    </w:lvl>
  </w:abstractNum>
  <w:abstractNum w:abstractNumId="15" w15:restartNumberingAfterBreak="0">
    <w:multiLevelType w:val="hybridMultilevel"/>
    <w:lvl w:ilvl="0" w15:tentative="1">
      <w:start w:val="1"/>
      <w:numFmt w:val="decimal"/>
      <w:lvlText w:val="%1."/>
      <w:lvlJc w:val="left"/>
      <w:pPr>
        <w:ind w:left="620" w:hanging="360"/>
      </w:pPr>
      <w:rPr>
        <w:sz w:val="28"/>
        <w:szCs w:val="28"/>
      </w:r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5"/>
    <w:lvlOverride w:ilvl="0">
      <w:startOverride w:val="1"/>
    </w:lvlOverride>
  </w:num>
  <w:num w:numId="5">
    <w:abstractNumId w:val="6"/>
    <w:lvlOverride w:ilvl="0">
      <w:startOverride w:val="1"/>
    </w:lvlOverride>
  </w:num>
  <w:num w:numId="6">
    <w:abstractNumId w:val="7"/>
    <w:lvlOverride w:ilvl="0">
      <w:startOverride w:val="1"/>
    </w:lvlOverride>
  </w:num>
  <w:num w:numId="7">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8"/>
        <w:szCs w:val="2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00"/>
      <w:outlineLvl w:val="0"/>
    </w:pPr>
    <w:rPr>
      <w:rFonts w:ascii="Georgia" w:cs="Georgia" w:eastAsia="Georgia" w:hAnsi="Georgia"/>
      <w:b/>
      <w:bCs/>
      <w:color w:val="0B2545"/>
      <w:sz w:val="48"/>
      <w:szCs w:val="48"/>
    </w:rPr>
  </w:style>
  <w:style w:type="paragraph" w:styleId="Heading2">
    <w:name w:val="Heading 2"/>
    <w:basedOn w:val="Normal"/>
    <w:next w:val="Normal"/>
    <w:qFormat/>
    <w:pPr>
      <w:spacing w:after="100" w:before="200"/>
      <w:outlineLvl w:val="1"/>
    </w:pPr>
    <w:rPr>
      <w:rFonts w:ascii="Georgia" w:cs="Georgia" w:eastAsia="Georgia" w:hAnsi="Georgia"/>
      <w:b/>
      <w:bCs/>
      <w:color w:val="2F5233"/>
      <w:sz w:val="36"/>
      <w:szCs w:val="36"/>
    </w:rPr>
  </w:style>
  <w:style w:type="paragraph" w:styleId="Heading3">
    <w:name w:val="Heading 3"/>
    <w:basedOn w:val="Normal"/>
    <w:next w:val="Normal"/>
    <w:qFormat/>
    <w:pPr>
      <w:spacing w:after="80" w:before="160"/>
      <w:outlineLvl w:val="2"/>
    </w:pPr>
    <w:rPr>
      <w:b/>
      <w:bCs/>
      <w:color w:val="0B2545"/>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1ead5c3986dc8e5aacceb72003c66f399d35b7c6.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NFLA Student, Adult Workforce &amp; Parent Handbook</dc:title>
  <dc:creator>The National Arts, Agriculture and Advancement Foundation</dc:creator>
  <dc:description>Student, Adult Workforce &amp; Parent Handbook, 2026 Edition</dc:description>
  <cp:lastModifiedBy>Un-named</cp:lastModifiedBy>
  <cp:revision>1</cp:revision>
  <dcterms:created xsi:type="dcterms:W3CDTF">2026-06-20T18:53:24.233Z</dcterms:created>
  <dcterms:modified xsi:type="dcterms:W3CDTF">2026-06-20T18:53:24.246Z</dcterms:modified>
</cp:coreProperties>
</file>

<file path=docProps/custom.xml><?xml version="1.0" encoding="utf-8"?>
<Properties xmlns="http://schemas.openxmlformats.org/officeDocument/2006/custom-properties" xmlns:vt="http://schemas.openxmlformats.org/officeDocument/2006/docPropsVTypes"/>
</file>